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D209" w14:textId="77777777" w:rsidR="003614B0" w:rsidRDefault="00377266" w:rsidP="576095BF">
      <w:pPr>
        <w:pStyle w:val="Title"/>
        <w:rPr>
          <w:rFonts w:ascii="Arial" w:eastAsia="Arial" w:hAnsi="Arial" w:cs="Arial"/>
          <w:color w:val="auto"/>
          <w:sz w:val="24"/>
          <w:szCs w:val="24"/>
        </w:rPr>
      </w:pPr>
      <w:r w:rsidRPr="576095BF">
        <w:rPr>
          <w:color w:val="auto"/>
        </w:rPr>
        <w:t>Mental Health and Wellbeing Policy</w:t>
      </w:r>
    </w:p>
    <w:p w14:paraId="683357A4" w14:textId="77777777" w:rsidR="003614B0" w:rsidRDefault="00377266" w:rsidP="576095BF">
      <w:pPr>
        <w:pStyle w:val="Heading1"/>
        <w:rPr>
          <w:rFonts w:ascii="Arial" w:eastAsia="Arial" w:hAnsi="Arial" w:cs="Arial"/>
          <w:color w:val="auto"/>
          <w:sz w:val="24"/>
          <w:szCs w:val="24"/>
        </w:rPr>
      </w:pPr>
      <w:r w:rsidRPr="576095BF">
        <w:rPr>
          <w:rFonts w:ascii="Arial" w:eastAsia="Arial" w:hAnsi="Arial" w:cs="Arial"/>
          <w:color w:val="auto"/>
          <w:sz w:val="24"/>
          <w:szCs w:val="24"/>
        </w:rPr>
        <w:t>1. Purpose</w:t>
      </w:r>
    </w:p>
    <w:p w14:paraId="14B62D82"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xml:space="preserve">This policy sets out our commitment to supporting the mental health and wellbeing of everyone in our organisation. Mental health challenges are common and can affect anyone, regardless of role or background. We are committed to creating a safe, respectful, and supportive environment where people feel able to talk openly, seek help, and thrive at work. Promoting </w:t>
      </w:r>
      <w:proofErr w:type="gramStart"/>
      <w:r w:rsidRPr="576095BF">
        <w:rPr>
          <w:rFonts w:ascii="Arial" w:eastAsia="Arial" w:hAnsi="Arial" w:cs="Arial"/>
          <w:sz w:val="24"/>
          <w:szCs w:val="24"/>
        </w:rPr>
        <w:t>wellbeing</w:t>
      </w:r>
      <w:proofErr w:type="gramEnd"/>
      <w:r w:rsidRPr="576095BF">
        <w:rPr>
          <w:rFonts w:ascii="Arial" w:eastAsia="Arial" w:hAnsi="Arial" w:cs="Arial"/>
          <w:sz w:val="24"/>
          <w:szCs w:val="24"/>
        </w:rPr>
        <w:t xml:space="preserve"> helps build a stronger, more resilient organisation.</w:t>
      </w:r>
    </w:p>
    <w:p w14:paraId="2BFCA287" w14:textId="77777777" w:rsidR="003614B0" w:rsidRDefault="00377266" w:rsidP="576095BF">
      <w:pPr>
        <w:pStyle w:val="Heading1"/>
        <w:rPr>
          <w:rFonts w:ascii="Arial" w:eastAsia="Arial" w:hAnsi="Arial" w:cs="Arial"/>
          <w:color w:val="auto"/>
          <w:sz w:val="24"/>
          <w:szCs w:val="24"/>
        </w:rPr>
      </w:pPr>
      <w:r w:rsidRPr="576095BF">
        <w:rPr>
          <w:rFonts w:ascii="Arial" w:eastAsia="Arial" w:hAnsi="Arial" w:cs="Arial"/>
          <w:color w:val="auto"/>
          <w:sz w:val="24"/>
          <w:szCs w:val="24"/>
        </w:rPr>
        <w:t>2. Scope</w:t>
      </w:r>
    </w:p>
    <w:p w14:paraId="15F3E7C4"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This policy applies to all employees, volunteers, trustees, and contractors. It covers day-to-day wellbeing, how we respond to mental health challenges, and how we promote a culture of care and support.</w:t>
      </w:r>
    </w:p>
    <w:p w14:paraId="490F120F" w14:textId="77777777" w:rsidR="003614B0" w:rsidRDefault="00377266" w:rsidP="576095BF">
      <w:pPr>
        <w:pStyle w:val="Heading1"/>
        <w:rPr>
          <w:rFonts w:ascii="Arial" w:eastAsia="Arial" w:hAnsi="Arial" w:cs="Arial"/>
          <w:color w:val="auto"/>
          <w:sz w:val="24"/>
          <w:szCs w:val="24"/>
        </w:rPr>
      </w:pPr>
      <w:r w:rsidRPr="576095BF">
        <w:rPr>
          <w:rFonts w:ascii="Arial" w:eastAsia="Arial" w:hAnsi="Arial" w:cs="Arial"/>
          <w:color w:val="auto"/>
          <w:sz w:val="24"/>
          <w:szCs w:val="24"/>
        </w:rPr>
        <w:t>3. Our Commitments</w:t>
      </w:r>
    </w:p>
    <w:p w14:paraId="6234AAB4"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Promote open conversations about mental health.</w:t>
      </w:r>
    </w:p>
    <w:p w14:paraId="1985B2C1"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Provide training and resources to raise awareness.</w:t>
      </w:r>
    </w:p>
    <w:p w14:paraId="39275727"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Tackle stigma and discrimination wherever we see it.</w:t>
      </w:r>
    </w:p>
    <w:p w14:paraId="3547401F"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Support staff returning to work after mental health-related absence.</w:t>
      </w:r>
    </w:p>
    <w:p w14:paraId="0973ADA5"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Enable flexible working arrangements where appropriate.</w:t>
      </w:r>
    </w:p>
    <w:p w14:paraId="35D95840"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Foster a workplace culture that prioritises people as well as outcomes.</w:t>
      </w:r>
    </w:p>
    <w:p w14:paraId="6E1B69C3" w14:textId="77777777" w:rsidR="003614B0" w:rsidRDefault="00377266" w:rsidP="576095BF">
      <w:pPr>
        <w:pStyle w:val="Heading1"/>
        <w:rPr>
          <w:rFonts w:ascii="Arial" w:eastAsia="Arial" w:hAnsi="Arial" w:cs="Arial"/>
          <w:color w:val="auto"/>
          <w:sz w:val="24"/>
          <w:szCs w:val="24"/>
        </w:rPr>
      </w:pPr>
      <w:r w:rsidRPr="576095BF">
        <w:rPr>
          <w:rFonts w:ascii="Arial" w:eastAsia="Arial" w:hAnsi="Arial" w:cs="Arial"/>
          <w:color w:val="auto"/>
          <w:sz w:val="24"/>
          <w:szCs w:val="24"/>
        </w:rPr>
        <w:t>4. Responsibilities</w:t>
      </w:r>
    </w:p>
    <w:p w14:paraId="2CB547DD"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All staff and volunteers are expected to:</w:t>
      </w:r>
    </w:p>
    <w:p w14:paraId="4192C406"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Take care of their own wellbeing and seek support when needed.</w:t>
      </w:r>
    </w:p>
    <w:p w14:paraId="3676F2BF"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Treat others with respect and sensitivity.</w:t>
      </w:r>
    </w:p>
    <w:p w14:paraId="0C4B57B1"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Flag concerns early to help prevent issues from escalating.</w:t>
      </w:r>
    </w:p>
    <w:p w14:paraId="416FCDA9"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xml:space="preserve">Managers and leaders have a responsibility </w:t>
      </w:r>
      <w:proofErr w:type="gramStart"/>
      <w:r w:rsidRPr="576095BF">
        <w:rPr>
          <w:rFonts w:ascii="Arial" w:eastAsia="Arial" w:hAnsi="Arial" w:cs="Arial"/>
          <w:sz w:val="24"/>
          <w:szCs w:val="24"/>
        </w:rPr>
        <w:t>to</w:t>
      </w:r>
      <w:proofErr w:type="gramEnd"/>
      <w:r w:rsidRPr="576095BF">
        <w:rPr>
          <w:rFonts w:ascii="Arial" w:eastAsia="Arial" w:hAnsi="Arial" w:cs="Arial"/>
          <w:sz w:val="24"/>
          <w:szCs w:val="24"/>
        </w:rPr>
        <w:t>:</w:t>
      </w:r>
    </w:p>
    <w:p w14:paraId="7931943F"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lastRenderedPageBreak/>
        <w:t>- Role model healthy behaviours and encourage work-life balance.</w:t>
      </w:r>
    </w:p>
    <w:p w14:paraId="7E113C81"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Create space for regular check-ins and open conversations.</w:t>
      </w:r>
    </w:p>
    <w:p w14:paraId="764B185F"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Make reasonable adjustments to support individuals experiencing challenges.</w:t>
      </w:r>
    </w:p>
    <w:p w14:paraId="39F2E9ED"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xml:space="preserve">- Ensure </w:t>
      </w:r>
      <w:proofErr w:type="gramStart"/>
      <w:r w:rsidRPr="576095BF">
        <w:rPr>
          <w:rFonts w:ascii="Arial" w:eastAsia="Arial" w:hAnsi="Arial" w:cs="Arial"/>
          <w:sz w:val="24"/>
          <w:szCs w:val="24"/>
        </w:rPr>
        <w:t>wellbeing</w:t>
      </w:r>
      <w:proofErr w:type="gramEnd"/>
      <w:r w:rsidRPr="576095BF">
        <w:rPr>
          <w:rFonts w:ascii="Arial" w:eastAsia="Arial" w:hAnsi="Arial" w:cs="Arial"/>
          <w:sz w:val="24"/>
          <w:szCs w:val="24"/>
        </w:rPr>
        <w:t xml:space="preserve"> is considered in decision-making, planning and workload management.</w:t>
      </w:r>
    </w:p>
    <w:p w14:paraId="3704F4DA" w14:textId="77777777" w:rsidR="003614B0" w:rsidRDefault="00377266" w:rsidP="576095BF">
      <w:pPr>
        <w:pStyle w:val="Heading1"/>
        <w:rPr>
          <w:rFonts w:ascii="Arial" w:eastAsia="Arial" w:hAnsi="Arial" w:cs="Arial"/>
          <w:color w:val="auto"/>
          <w:sz w:val="24"/>
          <w:szCs w:val="24"/>
        </w:rPr>
      </w:pPr>
      <w:r w:rsidRPr="576095BF">
        <w:rPr>
          <w:rFonts w:ascii="Arial" w:eastAsia="Arial" w:hAnsi="Arial" w:cs="Arial"/>
          <w:color w:val="auto"/>
          <w:sz w:val="24"/>
          <w:szCs w:val="24"/>
        </w:rPr>
        <w:t>5. Stress and Burnout</w:t>
      </w:r>
    </w:p>
    <w:p w14:paraId="54321B2C"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We recognise that high workloads, long hours, or emotionally demanding work can lead to stress and burnout. Staff are encouraged to use their leave, take regular breaks, and speak up if they feel overwhelmed. We will work proactively to address root causes of stress and promote a healthier balance where possible.</w:t>
      </w:r>
    </w:p>
    <w:p w14:paraId="214947DE" w14:textId="77777777" w:rsidR="003614B0" w:rsidRDefault="00377266" w:rsidP="576095BF">
      <w:pPr>
        <w:pStyle w:val="Heading1"/>
        <w:rPr>
          <w:rFonts w:ascii="Arial" w:eastAsia="Arial" w:hAnsi="Arial" w:cs="Arial"/>
          <w:color w:val="auto"/>
          <w:sz w:val="24"/>
          <w:szCs w:val="24"/>
        </w:rPr>
      </w:pPr>
      <w:r w:rsidRPr="576095BF">
        <w:rPr>
          <w:rFonts w:ascii="Arial" w:eastAsia="Arial" w:hAnsi="Arial" w:cs="Arial"/>
          <w:color w:val="auto"/>
          <w:sz w:val="24"/>
          <w:szCs w:val="24"/>
        </w:rPr>
        <w:t>6. Mental Health and Returning to Work</w:t>
      </w:r>
    </w:p>
    <w:p w14:paraId="1356E42C"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xml:space="preserve">If someone is off work due to mental health, we will support them with a return-to-work plan. This may include phased hours, workload adjustments, or regular </w:t>
      </w:r>
      <w:proofErr w:type="gramStart"/>
      <w:r w:rsidRPr="576095BF">
        <w:rPr>
          <w:rFonts w:ascii="Arial" w:eastAsia="Arial" w:hAnsi="Arial" w:cs="Arial"/>
          <w:sz w:val="24"/>
          <w:szCs w:val="24"/>
        </w:rPr>
        <w:t>wellbeing</w:t>
      </w:r>
      <w:proofErr w:type="gramEnd"/>
      <w:r w:rsidRPr="576095BF">
        <w:rPr>
          <w:rFonts w:ascii="Arial" w:eastAsia="Arial" w:hAnsi="Arial" w:cs="Arial"/>
          <w:sz w:val="24"/>
          <w:szCs w:val="24"/>
        </w:rPr>
        <w:t xml:space="preserve"> reviews. We will always treat these matters with discretion and respect.</w:t>
      </w:r>
    </w:p>
    <w:p w14:paraId="077C1B45" w14:textId="77777777" w:rsidR="003614B0" w:rsidRDefault="00377266" w:rsidP="576095BF">
      <w:pPr>
        <w:pStyle w:val="Heading1"/>
        <w:rPr>
          <w:rFonts w:ascii="Arial" w:eastAsia="Arial" w:hAnsi="Arial" w:cs="Arial"/>
          <w:color w:val="auto"/>
          <w:sz w:val="24"/>
          <w:szCs w:val="24"/>
        </w:rPr>
      </w:pPr>
      <w:r w:rsidRPr="576095BF">
        <w:rPr>
          <w:rFonts w:ascii="Arial" w:eastAsia="Arial" w:hAnsi="Arial" w:cs="Arial"/>
          <w:color w:val="auto"/>
          <w:sz w:val="24"/>
          <w:szCs w:val="24"/>
        </w:rPr>
        <w:t>7. Creating a Supportive Culture</w:t>
      </w:r>
    </w:p>
    <w:p w14:paraId="3F2ECAC8"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Wellbeing is not a one-off activity – it's part of our day-to-day culture. We aim to create an inclusive environment where people feel safe to bring their whole selves to work. Social connection, trust, and kindness underpin our approach. Managers will be supported to build confidence in talking about mental health with their teams.</w:t>
      </w:r>
    </w:p>
    <w:p w14:paraId="012634A6" w14:textId="77777777" w:rsidR="003614B0" w:rsidRDefault="00377266" w:rsidP="576095BF">
      <w:pPr>
        <w:pStyle w:val="Heading1"/>
        <w:rPr>
          <w:rFonts w:ascii="Arial" w:eastAsia="Arial" w:hAnsi="Arial" w:cs="Arial"/>
          <w:color w:val="auto"/>
          <w:sz w:val="24"/>
          <w:szCs w:val="24"/>
        </w:rPr>
      </w:pPr>
      <w:r w:rsidRPr="576095BF">
        <w:rPr>
          <w:rFonts w:ascii="Arial" w:eastAsia="Arial" w:hAnsi="Arial" w:cs="Arial"/>
          <w:color w:val="auto"/>
          <w:sz w:val="24"/>
          <w:szCs w:val="24"/>
        </w:rPr>
        <w:t>8. Digital and Flexible Working</w:t>
      </w:r>
    </w:p>
    <w:p w14:paraId="31BE7D8D"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We encourage staff to manage digital boundaries and avoid a culture of always being 'on'. This includes using delayed send, respecting out-of-hours boundaries, and being mindful of how and when we communicate. Flexible, hybrid or remote working arrangements will be supported where possible, depending on role and team needs.</w:t>
      </w:r>
    </w:p>
    <w:p w14:paraId="73E35B5E" w14:textId="77777777" w:rsidR="003614B0" w:rsidRDefault="00377266" w:rsidP="576095BF">
      <w:pPr>
        <w:pStyle w:val="Heading1"/>
        <w:rPr>
          <w:rFonts w:ascii="Arial" w:eastAsia="Arial" w:hAnsi="Arial" w:cs="Arial"/>
          <w:color w:val="auto"/>
          <w:sz w:val="24"/>
          <w:szCs w:val="24"/>
        </w:rPr>
      </w:pPr>
      <w:r w:rsidRPr="576095BF">
        <w:rPr>
          <w:rFonts w:ascii="Arial" w:eastAsia="Arial" w:hAnsi="Arial" w:cs="Arial"/>
          <w:color w:val="auto"/>
          <w:sz w:val="24"/>
          <w:szCs w:val="24"/>
        </w:rPr>
        <w:lastRenderedPageBreak/>
        <w:t>9. Sources of Support</w:t>
      </w:r>
    </w:p>
    <w:p w14:paraId="743525FC"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Line managers and senior staff</w:t>
      </w:r>
    </w:p>
    <w:p w14:paraId="35FF2E4E"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HR or wellbeing leads (if applicable)</w:t>
      </w:r>
    </w:p>
    <w:p w14:paraId="19A0469F"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Local mental health services or charities</w:t>
      </w:r>
    </w:p>
    <w:p w14:paraId="34C204E6"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Free helplines such as Samaritans: 116 123</w:t>
      </w:r>
    </w:p>
    <w:p w14:paraId="1242BBCE"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 Wellbeing tools, apps and peer networks</w:t>
      </w:r>
    </w:p>
    <w:p w14:paraId="252B95EB" w14:textId="77777777" w:rsidR="003614B0" w:rsidRDefault="00377266" w:rsidP="576095BF">
      <w:pPr>
        <w:pStyle w:val="Heading1"/>
        <w:rPr>
          <w:rFonts w:ascii="Arial" w:eastAsia="Arial" w:hAnsi="Arial" w:cs="Arial"/>
          <w:color w:val="auto"/>
          <w:sz w:val="24"/>
          <w:szCs w:val="24"/>
        </w:rPr>
      </w:pPr>
      <w:r w:rsidRPr="576095BF">
        <w:rPr>
          <w:rFonts w:ascii="Arial" w:eastAsia="Arial" w:hAnsi="Arial" w:cs="Arial"/>
          <w:color w:val="auto"/>
          <w:sz w:val="24"/>
          <w:szCs w:val="24"/>
        </w:rPr>
        <w:t>10. Review</w:t>
      </w:r>
    </w:p>
    <w:p w14:paraId="1423282C" w14:textId="77777777" w:rsidR="003614B0" w:rsidRDefault="00377266" w:rsidP="576095BF">
      <w:pPr>
        <w:rPr>
          <w:rFonts w:ascii="Arial" w:eastAsia="Arial" w:hAnsi="Arial" w:cs="Arial"/>
          <w:sz w:val="24"/>
          <w:szCs w:val="24"/>
        </w:rPr>
      </w:pPr>
      <w:r w:rsidRPr="576095BF">
        <w:rPr>
          <w:rFonts w:ascii="Arial" w:eastAsia="Arial" w:hAnsi="Arial" w:cs="Arial"/>
          <w:sz w:val="24"/>
          <w:szCs w:val="24"/>
        </w:rPr>
        <w:t>This policy will be reviewed annually, or sooner if required. We welcome feedback to help us continually improve our approach to supporting mental health and wellbeing.</w:t>
      </w:r>
    </w:p>
    <w:sectPr w:rsidR="003614B0"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D30F2" w14:textId="77777777" w:rsidR="00B50305" w:rsidRDefault="00B50305" w:rsidP="00B50305">
      <w:pPr>
        <w:spacing w:after="0" w:line="240" w:lineRule="auto"/>
      </w:pPr>
      <w:r>
        <w:separator/>
      </w:r>
    </w:p>
  </w:endnote>
  <w:endnote w:type="continuationSeparator" w:id="0">
    <w:p w14:paraId="47BC4055" w14:textId="77777777" w:rsidR="00B50305" w:rsidRDefault="00B50305" w:rsidP="00B50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5FE2" w14:textId="77777777" w:rsidR="00B50305" w:rsidRDefault="00B50305" w:rsidP="00B50305">
      <w:pPr>
        <w:spacing w:after="0" w:line="240" w:lineRule="auto"/>
      </w:pPr>
      <w:r>
        <w:separator/>
      </w:r>
    </w:p>
  </w:footnote>
  <w:footnote w:type="continuationSeparator" w:id="0">
    <w:p w14:paraId="5B9FAD8D" w14:textId="77777777" w:rsidR="00B50305" w:rsidRDefault="00B50305" w:rsidP="00B50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2FAF" w14:textId="661880DB" w:rsidR="00B50305" w:rsidRDefault="00B50305">
    <w:pPr>
      <w:pStyle w:val="Header"/>
    </w:pPr>
    <w:r>
      <w:rPr>
        <w:noProof/>
      </w:rPr>
      <w:drawing>
        <wp:inline distT="0" distB="0" distL="0" distR="0" wp14:anchorId="4D62B877" wp14:editId="25FCE1AD">
          <wp:extent cx="2241003" cy="568032"/>
          <wp:effectExtent l="0" t="0" r="6985" b="3810"/>
          <wp:docPr id="164404363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43633" name="Picture 1" descr="A blue and white logo&#10;&#10;AI-generated content may be incorrect."/>
                  <pic:cNvPicPr/>
                </pic:nvPicPr>
                <pic:blipFill>
                  <a:blip r:embed="rId1"/>
                  <a:stretch>
                    <a:fillRect/>
                  </a:stretch>
                </pic:blipFill>
                <pic:spPr>
                  <a:xfrm>
                    <a:off x="0" y="0"/>
                    <a:ext cx="2282709" cy="578603"/>
                  </a:xfrm>
                  <a:prstGeom prst="rect">
                    <a:avLst/>
                  </a:prstGeom>
                </pic:spPr>
              </pic:pic>
            </a:graphicData>
          </a:graphic>
        </wp:inline>
      </w:drawing>
    </w:r>
    <w:r w:rsidR="009A249B">
      <w:t xml:space="preserve">                                    </w:t>
    </w:r>
    <w:r>
      <w:rPr>
        <w:noProof/>
      </w:rPr>
      <w:drawing>
        <wp:inline distT="0" distB="0" distL="0" distR="0" wp14:anchorId="176BEB09" wp14:editId="1B220B42">
          <wp:extent cx="2102114" cy="987902"/>
          <wp:effectExtent l="0" t="0" r="0" b="3175"/>
          <wp:docPr id="33598602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86024" name="Picture 2" descr="A close-up of a logo&#10;&#10;AI-generated content may be incorrect."/>
                  <pic:cNvPicPr/>
                </pic:nvPicPr>
                <pic:blipFill rotWithShape="1">
                  <a:blip r:embed="rId2"/>
                  <a:srcRect l="15903" t="27116" r="17531" b="25960"/>
                  <a:stretch/>
                </pic:blipFill>
                <pic:spPr bwMode="auto">
                  <a:xfrm>
                    <a:off x="0" y="0"/>
                    <a:ext cx="2116722" cy="99476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660580">
    <w:abstractNumId w:val="8"/>
  </w:num>
  <w:num w:numId="2" w16cid:durableId="2094080991">
    <w:abstractNumId w:val="6"/>
  </w:num>
  <w:num w:numId="3" w16cid:durableId="1537616125">
    <w:abstractNumId w:val="5"/>
  </w:num>
  <w:num w:numId="4" w16cid:durableId="670916270">
    <w:abstractNumId w:val="4"/>
  </w:num>
  <w:num w:numId="5" w16cid:durableId="514878457">
    <w:abstractNumId w:val="7"/>
  </w:num>
  <w:num w:numId="6" w16cid:durableId="903414548">
    <w:abstractNumId w:val="3"/>
  </w:num>
  <w:num w:numId="7" w16cid:durableId="211891087">
    <w:abstractNumId w:val="2"/>
  </w:num>
  <w:num w:numId="8" w16cid:durableId="1054432284">
    <w:abstractNumId w:val="1"/>
  </w:num>
  <w:num w:numId="9" w16cid:durableId="2081321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14B0"/>
    <w:rsid w:val="00377266"/>
    <w:rsid w:val="004129EA"/>
    <w:rsid w:val="009A249B"/>
    <w:rsid w:val="00A655CE"/>
    <w:rsid w:val="00AA1D8D"/>
    <w:rsid w:val="00B47730"/>
    <w:rsid w:val="00B50305"/>
    <w:rsid w:val="00CB0664"/>
    <w:rsid w:val="00F063C0"/>
    <w:rsid w:val="00FC693F"/>
    <w:rsid w:val="57609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A76B7B"/>
  <w14:defaultImageDpi w14:val="300"/>
  <w15:docId w15:val="{DC0B1B85-4343-474F-BDFE-9E6F8C01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5801635E65CB418C8D8C6A55364F63" ma:contentTypeVersion="13" ma:contentTypeDescription="Create a new document." ma:contentTypeScope="" ma:versionID="24651b9865605ef0865beb3afafe62b9">
  <xsd:schema xmlns:xsd="http://www.w3.org/2001/XMLSchema" xmlns:xs="http://www.w3.org/2001/XMLSchema" xmlns:p="http://schemas.microsoft.com/office/2006/metadata/properties" xmlns:ns1="http://schemas.microsoft.com/sharepoint/v3" xmlns:ns2="dd10d216-39fd-40ed-81f8-158e2651a974" xmlns:ns3="http://schemas.microsoft.com/sharepoint/v3/fields" xmlns:ns4="db897128-ca34-4146-b8f8-9dd6477b6a4a" targetNamespace="http://schemas.microsoft.com/office/2006/metadata/properties" ma:root="true" ma:fieldsID="bbbf3c632010cfc1445905e826c41a7e" ns1:_="" ns2:_="" ns3:_="" ns4:_="">
    <xsd:import namespace="http://schemas.microsoft.com/sharepoint/v3"/>
    <xsd:import namespace="dd10d216-39fd-40ed-81f8-158e2651a974"/>
    <xsd:import namespace="http://schemas.microsoft.com/sharepoint/v3/fields"/>
    <xsd:import namespace="db897128-ca34-4146-b8f8-9dd6477b6a4a"/>
    <xsd:element name="properties">
      <xsd:complexType>
        <xsd:sequence>
          <xsd:element name="documentManagement">
            <xsd:complexType>
              <xsd:all>
                <xsd:element ref="ns2:SharedWithUsers" minOccurs="0"/>
                <xsd:element ref="ns3:_DCDateCreated" minOccurs="0"/>
                <xsd:element ref="ns1:PublishingStartDate" minOccurs="0"/>
                <xsd:element ref="ns1:PublishingExpirationDate" minOccurs="0"/>
                <xsd:element ref="ns4:MediaServiceMetadata" minOccurs="0"/>
                <xsd:element ref="ns4:MediaServiceFastMetadata" minOccurs="0"/>
                <xsd:element ref="ns2:SharedWithDetails" minOccurs="0"/>
                <xsd:element ref="ns4:_Flow_SignoffStatus" minOccurs="0"/>
                <xsd:element ref="ns4:MediaServiceSearchProperties" minOccurs="0"/>
                <xsd:element ref="ns4:MediaServiceObjectDetectorVersions"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0d216-39fd-40ed-81f8-158e2651a9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897128-ca34-4146-b8f8-9dd6477b6a4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_Flow_SignoffStatus" ma:index="15" nillable="true" ma:displayName="Sign-off status" ma:internalName="Sign_x002d_off_x0020_status">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db897128-ca34-4146-b8f8-9dd6477b6a4a"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207DE85-6847-44B2-AC48-540582BFA64D}"/>
</file>

<file path=customXml/itemProps3.xml><?xml version="1.0" encoding="utf-8"?>
<ds:datastoreItem xmlns:ds="http://schemas.openxmlformats.org/officeDocument/2006/customXml" ds:itemID="{E5900295-5F4B-455F-93EE-199271505BAB}"/>
</file>

<file path=customXml/itemProps4.xml><?xml version="1.0" encoding="utf-8"?>
<ds:datastoreItem xmlns:ds="http://schemas.openxmlformats.org/officeDocument/2006/customXml" ds:itemID="{E2709582-D172-4807-8B1F-114DF86C0EA9}"/>
</file>

<file path=customXml/itemProps5.xml><?xml version="1.0" encoding="utf-8"?>
<ds:datastoreItem xmlns:ds="http://schemas.openxmlformats.org/officeDocument/2006/customXml" ds:itemID="{49A09D94-8F27-4B6A-8D49-6ED0D44EEE96}"/>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2881</Characters>
  <Application>Microsoft Office Word</Application>
  <DocSecurity>0</DocSecurity>
  <Lines>24</Lines>
  <Paragraphs>6</Paragraphs>
  <ScaleCrop>false</ScaleCrop>
  <Manager/>
  <Company/>
  <LinksUpToDate>false</LinksUpToDate>
  <CharactersWithSpaces>3380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McCullough</dc:creator>
  <cp:keywords/>
  <dc:description>generated by python-docx</dc:description>
  <cp:lastModifiedBy>Lorraine McCullough</cp:lastModifiedBy>
  <cp:revision>2</cp:revision>
  <dcterms:created xsi:type="dcterms:W3CDTF">2025-05-15T08:54:00Z</dcterms:created>
  <dcterms:modified xsi:type="dcterms:W3CDTF">2025-05-15T08:54:00Z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0x010100515801635E65CB418C8D8C6A55364F63</vt:lpwstr>
  </property>
</Properties>
</file>