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0B6" w:rsidRDefault="00D750B6" w:rsidP="00D750B6">
      <w:pPr>
        <w:spacing w:line="360" w:lineRule="auto"/>
        <w:rPr>
          <w:rFonts w:ascii="Arial" w:hAnsi="Arial" w:cs="Arial"/>
          <w:b/>
          <w:sz w:val="24"/>
          <w:szCs w:val="24"/>
        </w:rPr>
      </w:pPr>
      <w:bookmarkStart w:id="0" w:name="_GoBack"/>
      <w:bookmarkEnd w:id="0"/>
      <w:r>
        <w:rPr>
          <w:rFonts w:ascii="Arial" w:hAnsi="Arial" w:cs="Arial"/>
          <w:b/>
          <w:sz w:val="24"/>
          <w:szCs w:val="24"/>
        </w:rPr>
        <w:t xml:space="preserve">Background </w:t>
      </w:r>
    </w:p>
    <w:p w:rsidR="00D750B6" w:rsidRPr="002C513C" w:rsidRDefault="00D750B6" w:rsidP="00D750B6">
      <w:pPr>
        <w:spacing w:line="360" w:lineRule="auto"/>
        <w:rPr>
          <w:rFonts w:ascii="Arial" w:hAnsi="Arial" w:cs="Arial"/>
          <w:b/>
          <w:sz w:val="24"/>
          <w:szCs w:val="24"/>
        </w:rPr>
      </w:pPr>
    </w:p>
    <w:p w:rsidR="00D750B6" w:rsidRDefault="00D750B6" w:rsidP="00D750B6">
      <w:pPr>
        <w:spacing w:line="360" w:lineRule="auto"/>
        <w:rPr>
          <w:rFonts w:ascii="Arial" w:hAnsi="Arial" w:cs="Arial"/>
          <w:sz w:val="24"/>
          <w:szCs w:val="24"/>
        </w:rPr>
      </w:pPr>
      <w:r w:rsidRPr="002C513C">
        <w:rPr>
          <w:rFonts w:ascii="Arial" w:hAnsi="Arial" w:cs="Arial"/>
          <w:sz w:val="24"/>
          <w:szCs w:val="24"/>
        </w:rPr>
        <w:t>DSD’s approach to budget reductions was set out in its consultation document of 2nd December 2014. Due to the level of budget reduction</w:t>
      </w:r>
      <w:r>
        <w:rPr>
          <w:rFonts w:ascii="Arial" w:hAnsi="Arial" w:cs="Arial"/>
          <w:sz w:val="24"/>
          <w:szCs w:val="24"/>
        </w:rPr>
        <w:t>,</w:t>
      </w:r>
      <w:r w:rsidRPr="002C513C">
        <w:rPr>
          <w:rFonts w:ascii="Arial" w:hAnsi="Arial" w:cs="Arial"/>
          <w:sz w:val="24"/>
          <w:szCs w:val="24"/>
        </w:rPr>
        <w:t xml:space="preserve"> all business areas across DSD were affected. Inevitably, the people who benefit most from the service of the Department are those most in need</w:t>
      </w:r>
      <w:r>
        <w:rPr>
          <w:rFonts w:ascii="Arial" w:hAnsi="Arial" w:cs="Arial"/>
          <w:sz w:val="24"/>
          <w:szCs w:val="24"/>
        </w:rPr>
        <w:t>,</w:t>
      </w:r>
      <w:r w:rsidRPr="002C513C">
        <w:rPr>
          <w:rFonts w:ascii="Arial" w:hAnsi="Arial" w:cs="Arial"/>
          <w:sz w:val="24"/>
          <w:szCs w:val="24"/>
        </w:rPr>
        <w:t xml:space="preserve"> and the level of reductions </w:t>
      </w:r>
      <w:r>
        <w:rPr>
          <w:rFonts w:ascii="Arial" w:hAnsi="Arial" w:cs="Arial"/>
          <w:sz w:val="24"/>
          <w:szCs w:val="24"/>
        </w:rPr>
        <w:t>wa</w:t>
      </w:r>
      <w:r w:rsidRPr="002C513C">
        <w:rPr>
          <w:rFonts w:ascii="Arial" w:hAnsi="Arial" w:cs="Arial"/>
          <w:sz w:val="24"/>
          <w:szCs w:val="24"/>
        </w:rPr>
        <w:t xml:space="preserve">s such that adverse impacts on services </w:t>
      </w:r>
      <w:r>
        <w:rPr>
          <w:rFonts w:ascii="Arial" w:hAnsi="Arial" w:cs="Arial"/>
          <w:sz w:val="24"/>
          <w:szCs w:val="24"/>
        </w:rPr>
        <w:t xml:space="preserve">could </w:t>
      </w:r>
      <w:r w:rsidRPr="002C513C">
        <w:rPr>
          <w:rFonts w:ascii="Arial" w:hAnsi="Arial" w:cs="Arial"/>
          <w:sz w:val="24"/>
          <w:szCs w:val="24"/>
        </w:rPr>
        <w:t>not be avoided.</w:t>
      </w:r>
      <w:r>
        <w:rPr>
          <w:rFonts w:ascii="Arial" w:hAnsi="Arial" w:cs="Arial"/>
          <w:sz w:val="24"/>
          <w:szCs w:val="24"/>
        </w:rPr>
        <w:t xml:space="preserve"> Within URCDG there are a number of funding streams </w:t>
      </w:r>
      <w:r w:rsidR="00957EAB">
        <w:rPr>
          <w:rFonts w:ascii="Arial" w:hAnsi="Arial" w:cs="Arial"/>
          <w:sz w:val="24"/>
          <w:szCs w:val="24"/>
        </w:rPr>
        <w:t xml:space="preserve">and </w:t>
      </w:r>
      <w:r>
        <w:rPr>
          <w:rFonts w:ascii="Arial" w:hAnsi="Arial" w:cs="Arial"/>
          <w:sz w:val="24"/>
          <w:szCs w:val="24"/>
        </w:rPr>
        <w:t>whilst many of these have different objectives,</w:t>
      </w:r>
      <w:r w:rsidRPr="00BC5C94">
        <w:rPr>
          <w:rFonts w:ascii="Arial" w:hAnsi="Arial" w:cs="Arial"/>
          <w:sz w:val="24"/>
          <w:szCs w:val="24"/>
        </w:rPr>
        <w:t xml:space="preserve"> it </w:t>
      </w:r>
      <w:r>
        <w:rPr>
          <w:rFonts w:ascii="Arial" w:hAnsi="Arial" w:cs="Arial"/>
          <w:sz w:val="24"/>
          <w:szCs w:val="24"/>
        </w:rPr>
        <w:t>is</w:t>
      </w:r>
      <w:r w:rsidRPr="00BC5C94">
        <w:rPr>
          <w:rFonts w:ascii="Arial" w:hAnsi="Arial" w:cs="Arial"/>
          <w:sz w:val="24"/>
          <w:szCs w:val="24"/>
        </w:rPr>
        <w:t xml:space="preserve"> </w:t>
      </w:r>
      <w:r>
        <w:rPr>
          <w:rFonts w:ascii="Arial" w:hAnsi="Arial" w:cs="Arial"/>
          <w:sz w:val="24"/>
          <w:szCs w:val="24"/>
        </w:rPr>
        <w:t>recognised that they broadly follow the same processes when considering applications and allocating funding.  It was agreed therefore that there should be a consistent broad approach to budget reductions taking into account, w</w:t>
      </w:r>
      <w:r w:rsidR="00957EAB">
        <w:rPr>
          <w:rFonts w:ascii="Arial" w:hAnsi="Arial" w:cs="Arial"/>
          <w:sz w:val="24"/>
          <w:szCs w:val="24"/>
        </w:rPr>
        <w:t>h</w:t>
      </w:r>
      <w:r>
        <w:rPr>
          <w:rFonts w:ascii="Arial" w:hAnsi="Arial" w:cs="Arial"/>
          <w:sz w:val="24"/>
          <w:szCs w:val="24"/>
        </w:rPr>
        <w:t>ere possible, the feedback from the formal consultation process.</w:t>
      </w:r>
    </w:p>
    <w:p w:rsidR="00D750B6" w:rsidRDefault="00D750B6" w:rsidP="00D750B6">
      <w:pPr>
        <w:spacing w:line="360" w:lineRule="auto"/>
        <w:rPr>
          <w:rFonts w:ascii="Arial" w:hAnsi="Arial" w:cs="Arial"/>
          <w:sz w:val="24"/>
          <w:szCs w:val="24"/>
        </w:rPr>
      </w:pPr>
    </w:p>
    <w:p w:rsidR="00D750B6" w:rsidRDefault="00D750B6" w:rsidP="00D750B6">
      <w:pPr>
        <w:spacing w:line="360" w:lineRule="auto"/>
        <w:rPr>
          <w:rFonts w:ascii="Arial" w:hAnsi="Arial" w:cs="Arial"/>
          <w:sz w:val="24"/>
          <w:szCs w:val="24"/>
        </w:rPr>
      </w:pPr>
      <w:r>
        <w:rPr>
          <w:rFonts w:ascii="Arial" w:hAnsi="Arial" w:cs="Arial"/>
          <w:sz w:val="24"/>
          <w:szCs w:val="24"/>
        </w:rPr>
        <w:t>A</w:t>
      </w:r>
      <w:r w:rsidRPr="002C513C">
        <w:rPr>
          <w:rFonts w:ascii="Arial" w:hAnsi="Arial" w:cs="Arial"/>
          <w:sz w:val="24"/>
          <w:szCs w:val="24"/>
        </w:rPr>
        <w:t xml:space="preserve"> number of options to address this </w:t>
      </w:r>
      <w:r>
        <w:rPr>
          <w:rFonts w:ascii="Arial" w:hAnsi="Arial" w:cs="Arial"/>
          <w:sz w:val="24"/>
          <w:szCs w:val="24"/>
        </w:rPr>
        <w:t xml:space="preserve">were considered </w:t>
      </w:r>
      <w:r w:rsidRPr="002C513C">
        <w:rPr>
          <w:rFonts w:ascii="Arial" w:hAnsi="Arial" w:cs="Arial"/>
          <w:sz w:val="24"/>
          <w:szCs w:val="24"/>
        </w:rPr>
        <w:t>including:</w:t>
      </w:r>
    </w:p>
    <w:p w:rsidR="00D750B6" w:rsidRPr="002C513C" w:rsidRDefault="00D750B6" w:rsidP="00D750B6">
      <w:pPr>
        <w:spacing w:line="360" w:lineRule="auto"/>
        <w:rPr>
          <w:rFonts w:ascii="Arial" w:hAnsi="Arial" w:cs="Arial"/>
          <w:sz w:val="24"/>
          <w:szCs w:val="24"/>
        </w:rPr>
      </w:pPr>
    </w:p>
    <w:p w:rsidR="00D750B6" w:rsidRPr="00465F58" w:rsidRDefault="00D750B6" w:rsidP="00D750B6">
      <w:pPr>
        <w:pStyle w:val="ListParagraph"/>
        <w:numPr>
          <w:ilvl w:val="0"/>
          <w:numId w:val="1"/>
        </w:numPr>
        <w:spacing w:line="360" w:lineRule="auto"/>
        <w:ind w:right="-330"/>
        <w:contextualSpacing/>
        <w:rPr>
          <w:rFonts w:ascii="Arial" w:hAnsi="Arial" w:cs="Arial"/>
          <w:sz w:val="24"/>
          <w:szCs w:val="24"/>
        </w:rPr>
      </w:pPr>
      <w:r>
        <w:rPr>
          <w:rFonts w:ascii="Arial" w:hAnsi="Arial" w:cs="Arial"/>
          <w:sz w:val="24"/>
          <w:szCs w:val="24"/>
        </w:rPr>
        <w:t xml:space="preserve">Running an open call for </w:t>
      </w:r>
      <w:r w:rsidRPr="00465F58">
        <w:rPr>
          <w:rFonts w:ascii="Arial" w:hAnsi="Arial" w:cs="Arial"/>
          <w:sz w:val="24"/>
          <w:szCs w:val="24"/>
        </w:rPr>
        <w:t>projects;</w:t>
      </w:r>
    </w:p>
    <w:p w:rsidR="00D750B6" w:rsidRPr="00465F58" w:rsidRDefault="00D750B6" w:rsidP="00D750B6">
      <w:pPr>
        <w:pStyle w:val="ListParagraph"/>
        <w:numPr>
          <w:ilvl w:val="0"/>
          <w:numId w:val="1"/>
        </w:numPr>
        <w:spacing w:line="360" w:lineRule="auto"/>
        <w:contextualSpacing/>
        <w:rPr>
          <w:rFonts w:ascii="Arial" w:hAnsi="Arial" w:cs="Arial"/>
          <w:sz w:val="24"/>
          <w:szCs w:val="24"/>
        </w:rPr>
      </w:pPr>
      <w:r w:rsidRPr="00465F58">
        <w:rPr>
          <w:rFonts w:ascii="Arial" w:hAnsi="Arial" w:cs="Arial"/>
          <w:sz w:val="24"/>
          <w:szCs w:val="24"/>
        </w:rPr>
        <w:t xml:space="preserve">Cutting all projects by the same </w:t>
      </w:r>
      <w:r>
        <w:rPr>
          <w:rFonts w:ascii="Arial" w:hAnsi="Arial" w:cs="Arial"/>
          <w:sz w:val="24"/>
          <w:szCs w:val="24"/>
        </w:rPr>
        <w:t>percentage</w:t>
      </w:r>
      <w:r w:rsidRPr="00465F58">
        <w:rPr>
          <w:rFonts w:ascii="Arial" w:hAnsi="Arial" w:cs="Arial"/>
          <w:sz w:val="24"/>
          <w:szCs w:val="24"/>
        </w:rPr>
        <w:t xml:space="preserve"> to meet the required efficiency;</w:t>
      </w:r>
    </w:p>
    <w:p w:rsidR="00D750B6" w:rsidRPr="00465F58" w:rsidRDefault="00D750B6" w:rsidP="00D750B6">
      <w:pPr>
        <w:pStyle w:val="ListParagraph"/>
        <w:numPr>
          <w:ilvl w:val="0"/>
          <w:numId w:val="1"/>
        </w:numPr>
        <w:spacing w:line="360" w:lineRule="auto"/>
        <w:contextualSpacing/>
        <w:rPr>
          <w:rFonts w:ascii="Arial" w:hAnsi="Arial" w:cs="Arial"/>
          <w:sz w:val="24"/>
          <w:szCs w:val="24"/>
        </w:rPr>
      </w:pPr>
      <w:r w:rsidRPr="00465F58">
        <w:rPr>
          <w:rFonts w:ascii="Arial" w:hAnsi="Arial" w:cs="Arial"/>
          <w:sz w:val="24"/>
          <w:szCs w:val="24"/>
        </w:rPr>
        <w:t xml:space="preserve">Prioritising support </w:t>
      </w:r>
      <w:r>
        <w:rPr>
          <w:rFonts w:ascii="Arial" w:hAnsi="Arial" w:cs="Arial"/>
          <w:sz w:val="24"/>
          <w:szCs w:val="24"/>
        </w:rPr>
        <w:t>by</w:t>
      </w:r>
      <w:r w:rsidRPr="00465F58">
        <w:rPr>
          <w:rFonts w:ascii="Arial" w:hAnsi="Arial" w:cs="Arial"/>
          <w:sz w:val="24"/>
          <w:szCs w:val="24"/>
        </w:rPr>
        <w:t xml:space="preserve"> themes e.g. education</w:t>
      </w:r>
      <w:r>
        <w:rPr>
          <w:rFonts w:ascii="Arial" w:hAnsi="Arial" w:cs="Arial"/>
          <w:sz w:val="24"/>
          <w:szCs w:val="24"/>
        </w:rPr>
        <w:t>;</w:t>
      </w:r>
      <w:r w:rsidRPr="00465F58">
        <w:rPr>
          <w:rFonts w:ascii="Arial" w:hAnsi="Arial" w:cs="Arial"/>
          <w:sz w:val="24"/>
          <w:szCs w:val="24"/>
        </w:rPr>
        <w:t xml:space="preserve"> and</w:t>
      </w:r>
    </w:p>
    <w:p w:rsidR="00D750B6" w:rsidRDefault="00D750B6" w:rsidP="00D750B6">
      <w:pPr>
        <w:pStyle w:val="ListParagraph"/>
        <w:numPr>
          <w:ilvl w:val="0"/>
          <w:numId w:val="1"/>
        </w:numPr>
        <w:spacing w:line="360" w:lineRule="auto"/>
        <w:contextualSpacing/>
        <w:rPr>
          <w:rFonts w:ascii="Arial" w:hAnsi="Arial" w:cs="Arial"/>
          <w:sz w:val="24"/>
          <w:szCs w:val="24"/>
        </w:rPr>
      </w:pPr>
      <w:r w:rsidRPr="00465F58">
        <w:rPr>
          <w:rFonts w:ascii="Arial" w:hAnsi="Arial" w:cs="Arial"/>
          <w:sz w:val="24"/>
          <w:szCs w:val="24"/>
        </w:rPr>
        <w:t xml:space="preserve">Prioritising the </w:t>
      </w:r>
      <w:r>
        <w:rPr>
          <w:rFonts w:ascii="Arial" w:hAnsi="Arial" w:cs="Arial"/>
          <w:sz w:val="24"/>
          <w:szCs w:val="24"/>
        </w:rPr>
        <w:t xml:space="preserve">existing </w:t>
      </w:r>
      <w:r w:rsidRPr="00465F58">
        <w:rPr>
          <w:rFonts w:ascii="Arial" w:hAnsi="Arial" w:cs="Arial"/>
          <w:sz w:val="24"/>
          <w:szCs w:val="24"/>
        </w:rPr>
        <w:t xml:space="preserve">projects against a clear set of </w:t>
      </w:r>
      <w:r>
        <w:rPr>
          <w:rFonts w:ascii="Arial" w:hAnsi="Arial" w:cs="Arial"/>
          <w:sz w:val="24"/>
          <w:szCs w:val="24"/>
        </w:rPr>
        <w:t>criteria</w:t>
      </w:r>
      <w:r w:rsidRPr="00465F58">
        <w:rPr>
          <w:rFonts w:ascii="Arial" w:hAnsi="Arial" w:cs="Arial"/>
          <w:sz w:val="24"/>
          <w:szCs w:val="24"/>
        </w:rPr>
        <w:t>.</w:t>
      </w:r>
    </w:p>
    <w:p w:rsidR="00D750B6" w:rsidRDefault="00D750B6" w:rsidP="00D750B6">
      <w:pPr>
        <w:spacing w:line="360" w:lineRule="auto"/>
        <w:contextualSpacing/>
        <w:rPr>
          <w:rFonts w:ascii="Arial" w:hAnsi="Arial" w:cs="Arial"/>
          <w:sz w:val="24"/>
          <w:szCs w:val="24"/>
        </w:rPr>
      </w:pPr>
    </w:p>
    <w:p w:rsidR="00D750B6" w:rsidRDefault="00D750B6" w:rsidP="00D750B6">
      <w:pPr>
        <w:spacing w:line="360" w:lineRule="auto"/>
        <w:contextualSpacing/>
        <w:rPr>
          <w:rFonts w:ascii="Arial" w:hAnsi="Arial" w:cs="Arial"/>
          <w:sz w:val="24"/>
          <w:szCs w:val="24"/>
        </w:rPr>
      </w:pPr>
      <w:r w:rsidRPr="002C513C">
        <w:rPr>
          <w:rFonts w:ascii="Arial" w:hAnsi="Arial" w:cs="Arial"/>
          <w:b/>
          <w:sz w:val="24"/>
          <w:szCs w:val="24"/>
        </w:rPr>
        <w:t>Option (d)</w:t>
      </w:r>
      <w:r w:rsidRPr="002C513C">
        <w:rPr>
          <w:rFonts w:ascii="Arial" w:hAnsi="Arial" w:cs="Arial"/>
          <w:sz w:val="24"/>
          <w:szCs w:val="24"/>
        </w:rPr>
        <w:t xml:space="preserve"> was selected as the option that could be </w:t>
      </w:r>
      <w:r>
        <w:rPr>
          <w:rFonts w:ascii="Arial" w:hAnsi="Arial" w:cs="Arial"/>
          <w:sz w:val="24"/>
          <w:szCs w:val="24"/>
        </w:rPr>
        <w:t xml:space="preserve">broadly </w:t>
      </w:r>
      <w:r w:rsidRPr="002C513C">
        <w:rPr>
          <w:rFonts w:ascii="Arial" w:hAnsi="Arial" w:cs="Arial"/>
          <w:sz w:val="24"/>
          <w:szCs w:val="24"/>
        </w:rPr>
        <w:t>delivered within timeframe; ensure</w:t>
      </w:r>
      <w:r>
        <w:rPr>
          <w:rFonts w:ascii="Arial" w:hAnsi="Arial" w:cs="Arial"/>
          <w:sz w:val="24"/>
          <w:szCs w:val="24"/>
        </w:rPr>
        <w:t>d</w:t>
      </w:r>
      <w:r w:rsidRPr="002C513C">
        <w:rPr>
          <w:rFonts w:ascii="Arial" w:hAnsi="Arial" w:cs="Arial"/>
          <w:sz w:val="24"/>
          <w:szCs w:val="24"/>
        </w:rPr>
        <w:t xml:space="preserve"> funding </w:t>
      </w:r>
      <w:r>
        <w:rPr>
          <w:rFonts w:ascii="Arial" w:hAnsi="Arial" w:cs="Arial"/>
          <w:sz w:val="24"/>
          <w:szCs w:val="24"/>
        </w:rPr>
        <w:t>was</w:t>
      </w:r>
      <w:r w:rsidRPr="002C513C">
        <w:rPr>
          <w:rFonts w:ascii="Arial" w:hAnsi="Arial" w:cs="Arial"/>
          <w:sz w:val="24"/>
          <w:szCs w:val="24"/>
        </w:rPr>
        <w:t xml:space="preserve"> prioritised against the highest quality projects, and allow</w:t>
      </w:r>
      <w:r>
        <w:rPr>
          <w:rFonts w:ascii="Arial" w:hAnsi="Arial" w:cs="Arial"/>
          <w:sz w:val="24"/>
          <w:szCs w:val="24"/>
        </w:rPr>
        <w:t>ed</w:t>
      </w:r>
      <w:r w:rsidRPr="002C513C">
        <w:rPr>
          <w:rFonts w:ascii="Arial" w:hAnsi="Arial" w:cs="Arial"/>
          <w:sz w:val="24"/>
          <w:szCs w:val="24"/>
        </w:rPr>
        <w:t xml:space="preserve"> for a consistent and transparent process</w:t>
      </w:r>
      <w:r>
        <w:rPr>
          <w:rFonts w:ascii="Arial" w:hAnsi="Arial" w:cs="Arial"/>
          <w:sz w:val="24"/>
          <w:szCs w:val="24"/>
        </w:rPr>
        <w:t>.</w:t>
      </w:r>
    </w:p>
    <w:p w:rsidR="00D750B6" w:rsidRDefault="00D750B6" w:rsidP="00D750B6">
      <w:pPr>
        <w:spacing w:line="360" w:lineRule="auto"/>
        <w:contextualSpacing/>
        <w:rPr>
          <w:rFonts w:ascii="Arial" w:hAnsi="Arial" w:cs="Arial"/>
          <w:sz w:val="24"/>
          <w:szCs w:val="24"/>
        </w:rPr>
      </w:pPr>
    </w:p>
    <w:p w:rsidR="00D750B6" w:rsidRDefault="00D750B6" w:rsidP="00D750B6">
      <w:pPr>
        <w:spacing w:line="360" w:lineRule="auto"/>
        <w:rPr>
          <w:rFonts w:ascii="Arial" w:hAnsi="Arial" w:cs="Arial"/>
          <w:sz w:val="24"/>
          <w:szCs w:val="24"/>
        </w:rPr>
      </w:pPr>
      <w:r>
        <w:rPr>
          <w:rFonts w:ascii="Arial" w:hAnsi="Arial" w:cs="Arial"/>
          <w:sz w:val="24"/>
          <w:szCs w:val="24"/>
        </w:rPr>
        <w:t>To ensure unifo</w:t>
      </w:r>
      <w:r w:rsidR="00957EAB">
        <w:rPr>
          <w:rFonts w:ascii="Arial" w:hAnsi="Arial" w:cs="Arial"/>
          <w:sz w:val="24"/>
          <w:szCs w:val="24"/>
        </w:rPr>
        <w:t>rmity the following criteria were</w:t>
      </w:r>
      <w:r>
        <w:rPr>
          <w:rFonts w:ascii="Arial" w:hAnsi="Arial" w:cs="Arial"/>
          <w:sz w:val="24"/>
          <w:szCs w:val="24"/>
        </w:rPr>
        <w:t xml:space="preserve"> considered at both at a strategic and project level:</w:t>
      </w:r>
    </w:p>
    <w:p w:rsidR="00D750B6" w:rsidRDefault="00D750B6" w:rsidP="00D750B6">
      <w:pPr>
        <w:spacing w:line="360" w:lineRule="auto"/>
        <w:rPr>
          <w:rFonts w:ascii="Arial" w:hAnsi="Arial" w:cs="Arial"/>
          <w:sz w:val="24"/>
          <w:szCs w:val="24"/>
        </w:rPr>
      </w:pPr>
    </w:p>
    <w:p w:rsidR="00D750B6" w:rsidRDefault="00D750B6" w:rsidP="00D750B6">
      <w:pPr>
        <w:spacing w:line="360" w:lineRule="auto"/>
        <w:rPr>
          <w:rFonts w:ascii="Arial" w:hAnsi="Arial" w:cs="Arial"/>
          <w:sz w:val="24"/>
          <w:szCs w:val="24"/>
        </w:rPr>
      </w:pPr>
      <w:r>
        <w:rPr>
          <w:rFonts w:ascii="Arial" w:hAnsi="Arial" w:cs="Arial"/>
          <w:sz w:val="24"/>
          <w:szCs w:val="24"/>
        </w:rPr>
        <w:t>Linkage to Departmental Policies and Programme for Government priorities</w:t>
      </w:r>
    </w:p>
    <w:p w:rsidR="00D750B6" w:rsidRDefault="00D750B6" w:rsidP="00D750B6">
      <w:pPr>
        <w:spacing w:line="360" w:lineRule="auto"/>
        <w:rPr>
          <w:rFonts w:ascii="Arial" w:hAnsi="Arial" w:cs="Arial"/>
          <w:sz w:val="24"/>
          <w:szCs w:val="24"/>
        </w:rPr>
      </w:pPr>
      <w:r>
        <w:rPr>
          <w:rFonts w:ascii="Arial" w:hAnsi="Arial" w:cs="Arial"/>
          <w:sz w:val="24"/>
          <w:szCs w:val="24"/>
        </w:rPr>
        <w:t>Evidence based need</w:t>
      </w:r>
    </w:p>
    <w:p w:rsidR="00D750B6" w:rsidRDefault="00D750B6" w:rsidP="00D750B6">
      <w:pPr>
        <w:spacing w:line="360" w:lineRule="auto"/>
        <w:rPr>
          <w:rFonts w:ascii="Arial" w:hAnsi="Arial" w:cs="Arial"/>
          <w:sz w:val="24"/>
          <w:szCs w:val="24"/>
        </w:rPr>
      </w:pPr>
      <w:r>
        <w:rPr>
          <w:rFonts w:ascii="Arial" w:hAnsi="Arial" w:cs="Arial"/>
          <w:sz w:val="24"/>
          <w:szCs w:val="24"/>
        </w:rPr>
        <w:t>Value for Money</w:t>
      </w:r>
    </w:p>
    <w:p w:rsidR="00D750B6" w:rsidRDefault="00D750B6" w:rsidP="00D750B6">
      <w:pPr>
        <w:spacing w:line="360" w:lineRule="auto"/>
        <w:rPr>
          <w:rFonts w:ascii="Arial" w:hAnsi="Arial" w:cs="Arial"/>
          <w:sz w:val="24"/>
          <w:szCs w:val="24"/>
        </w:rPr>
      </w:pPr>
      <w:r>
        <w:rPr>
          <w:rFonts w:ascii="Arial" w:hAnsi="Arial" w:cs="Arial"/>
          <w:sz w:val="24"/>
          <w:szCs w:val="24"/>
        </w:rPr>
        <w:t>Impact on area of disadvantage</w:t>
      </w:r>
    </w:p>
    <w:p w:rsidR="00D750B6" w:rsidRDefault="00D750B6" w:rsidP="00D750B6">
      <w:pPr>
        <w:spacing w:line="360" w:lineRule="auto"/>
        <w:rPr>
          <w:rFonts w:ascii="Arial" w:hAnsi="Arial" w:cs="Arial"/>
          <w:sz w:val="24"/>
          <w:szCs w:val="24"/>
        </w:rPr>
      </w:pPr>
      <w:r>
        <w:rPr>
          <w:rFonts w:ascii="Arial" w:hAnsi="Arial" w:cs="Arial"/>
          <w:sz w:val="24"/>
          <w:szCs w:val="24"/>
        </w:rPr>
        <w:t>Ministerial Priority</w:t>
      </w:r>
    </w:p>
    <w:p w:rsidR="00D750B6" w:rsidRDefault="00D750B6" w:rsidP="00D750B6">
      <w:pPr>
        <w:spacing w:line="360" w:lineRule="auto"/>
        <w:rPr>
          <w:rFonts w:ascii="Arial" w:hAnsi="Arial" w:cs="Arial"/>
          <w:sz w:val="24"/>
          <w:szCs w:val="24"/>
        </w:rPr>
      </w:pPr>
      <w:r>
        <w:rPr>
          <w:rFonts w:ascii="Arial" w:hAnsi="Arial" w:cs="Arial"/>
          <w:sz w:val="24"/>
          <w:szCs w:val="24"/>
        </w:rPr>
        <w:t>Sustainability – Impact of withdrawal/</w:t>
      </w:r>
      <w:proofErr w:type="gramStart"/>
      <w:r>
        <w:rPr>
          <w:rFonts w:ascii="Arial" w:hAnsi="Arial" w:cs="Arial"/>
          <w:sz w:val="24"/>
          <w:szCs w:val="24"/>
        </w:rPr>
        <w:t>Other</w:t>
      </w:r>
      <w:proofErr w:type="gramEnd"/>
      <w:r>
        <w:rPr>
          <w:rFonts w:ascii="Arial" w:hAnsi="Arial" w:cs="Arial"/>
          <w:sz w:val="24"/>
          <w:szCs w:val="24"/>
        </w:rPr>
        <w:t xml:space="preserve"> funding opportunities</w:t>
      </w:r>
    </w:p>
    <w:p w:rsidR="00D750B6" w:rsidRDefault="00D750B6" w:rsidP="00D750B6">
      <w:pPr>
        <w:spacing w:line="360" w:lineRule="auto"/>
        <w:rPr>
          <w:rFonts w:ascii="Arial" w:hAnsi="Arial" w:cs="Arial"/>
          <w:sz w:val="24"/>
          <w:szCs w:val="24"/>
        </w:rPr>
      </w:pPr>
    </w:p>
    <w:p w:rsidR="00D750B6" w:rsidRDefault="00D750B6" w:rsidP="00D750B6">
      <w:pPr>
        <w:spacing w:line="360" w:lineRule="auto"/>
        <w:rPr>
          <w:rFonts w:ascii="Arial" w:hAnsi="Arial" w:cs="Arial"/>
          <w:sz w:val="24"/>
          <w:szCs w:val="24"/>
        </w:rPr>
      </w:pPr>
      <w:r>
        <w:rPr>
          <w:rFonts w:ascii="Arial" w:hAnsi="Arial" w:cs="Arial"/>
          <w:sz w:val="24"/>
          <w:szCs w:val="24"/>
        </w:rPr>
        <w:lastRenderedPageBreak/>
        <w:t xml:space="preserve">These criteria along with regional and local intelligence gathered, feedback from the formal consultation process, our organisational / sectoral experience and knowledge of the funding environment were considered through a series of Senior Management Team meetings. </w:t>
      </w:r>
    </w:p>
    <w:p w:rsidR="00D750B6" w:rsidRDefault="00D750B6" w:rsidP="00D750B6">
      <w:pPr>
        <w:spacing w:line="360" w:lineRule="auto"/>
        <w:rPr>
          <w:rFonts w:ascii="Arial" w:hAnsi="Arial" w:cs="Arial"/>
          <w:b/>
          <w:sz w:val="24"/>
          <w:szCs w:val="24"/>
        </w:rPr>
      </w:pPr>
    </w:p>
    <w:p w:rsidR="00D750B6" w:rsidRDefault="00D750B6" w:rsidP="00D750B6">
      <w:pPr>
        <w:spacing w:line="360" w:lineRule="auto"/>
        <w:rPr>
          <w:rFonts w:ascii="Arial" w:hAnsi="Arial" w:cs="Arial"/>
          <w:b/>
          <w:sz w:val="24"/>
          <w:szCs w:val="24"/>
        </w:rPr>
      </w:pPr>
      <w:r>
        <w:rPr>
          <w:rFonts w:ascii="Arial" w:hAnsi="Arial" w:cs="Arial"/>
          <w:b/>
          <w:sz w:val="24"/>
          <w:szCs w:val="24"/>
        </w:rPr>
        <w:t>Project</w:t>
      </w:r>
      <w:r w:rsidRPr="002032E4">
        <w:rPr>
          <w:rFonts w:ascii="Arial" w:hAnsi="Arial" w:cs="Arial"/>
          <w:b/>
          <w:sz w:val="24"/>
          <w:szCs w:val="24"/>
        </w:rPr>
        <w:t xml:space="preserve"> Methodology</w:t>
      </w:r>
    </w:p>
    <w:p w:rsidR="00D750B6" w:rsidRPr="002C513C" w:rsidRDefault="00D750B6" w:rsidP="00D750B6">
      <w:pPr>
        <w:spacing w:line="360" w:lineRule="auto"/>
        <w:contextualSpacing/>
        <w:rPr>
          <w:rFonts w:ascii="Arial" w:eastAsia="Times New Roman" w:hAnsi="Arial" w:cs="Arial"/>
          <w:sz w:val="24"/>
          <w:szCs w:val="24"/>
        </w:rPr>
      </w:pPr>
    </w:p>
    <w:p w:rsidR="00D750B6" w:rsidRPr="002C513C" w:rsidRDefault="00D750B6" w:rsidP="00D750B6">
      <w:pPr>
        <w:pStyle w:val="ListParagraph"/>
        <w:spacing w:line="360" w:lineRule="auto"/>
        <w:ind w:left="0"/>
        <w:rPr>
          <w:rFonts w:ascii="Arial" w:hAnsi="Arial" w:cs="Arial"/>
          <w:sz w:val="24"/>
          <w:szCs w:val="24"/>
        </w:rPr>
      </w:pPr>
      <w:r w:rsidRPr="000B06C1">
        <w:rPr>
          <w:rFonts w:ascii="Arial" w:hAnsi="Arial" w:cs="Arial"/>
          <w:sz w:val="24"/>
          <w:szCs w:val="24"/>
        </w:rPr>
        <w:t>Applications were sought from all existing projects.</w:t>
      </w:r>
      <w:r>
        <w:rPr>
          <w:rFonts w:ascii="Arial" w:hAnsi="Arial" w:cs="Arial"/>
          <w:sz w:val="24"/>
          <w:szCs w:val="24"/>
        </w:rPr>
        <w:t xml:space="preserve"> </w:t>
      </w:r>
      <w:r w:rsidRPr="002C513C">
        <w:rPr>
          <w:rFonts w:ascii="Arial" w:hAnsi="Arial" w:cs="Arial"/>
          <w:sz w:val="24"/>
          <w:szCs w:val="24"/>
        </w:rPr>
        <w:t xml:space="preserve">The aim </w:t>
      </w:r>
      <w:r>
        <w:rPr>
          <w:rFonts w:ascii="Arial" w:hAnsi="Arial" w:cs="Arial"/>
          <w:sz w:val="24"/>
          <w:szCs w:val="24"/>
        </w:rPr>
        <w:t>wa</w:t>
      </w:r>
      <w:r w:rsidRPr="002C513C">
        <w:rPr>
          <w:rFonts w:ascii="Arial" w:hAnsi="Arial" w:cs="Arial"/>
          <w:sz w:val="24"/>
          <w:szCs w:val="24"/>
        </w:rPr>
        <w:t>s to maximise the delivery of high quality services to the most disadvantaged.  It also ha</w:t>
      </w:r>
      <w:r>
        <w:rPr>
          <w:rFonts w:ascii="Arial" w:hAnsi="Arial" w:cs="Arial"/>
          <w:sz w:val="24"/>
          <w:szCs w:val="24"/>
        </w:rPr>
        <w:t>d</w:t>
      </w:r>
      <w:r w:rsidRPr="002C513C">
        <w:rPr>
          <w:rFonts w:ascii="Arial" w:hAnsi="Arial" w:cs="Arial"/>
          <w:sz w:val="24"/>
          <w:szCs w:val="24"/>
        </w:rPr>
        <w:t xml:space="preserve"> to deliver within timeframe, ensure funding </w:t>
      </w:r>
      <w:r>
        <w:rPr>
          <w:rFonts w:ascii="Arial" w:hAnsi="Arial" w:cs="Arial"/>
          <w:sz w:val="24"/>
          <w:szCs w:val="24"/>
        </w:rPr>
        <w:t>was</w:t>
      </w:r>
      <w:r w:rsidRPr="002C513C">
        <w:rPr>
          <w:rFonts w:ascii="Arial" w:hAnsi="Arial" w:cs="Arial"/>
          <w:sz w:val="24"/>
          <w:szCs w:val="24"/>
        </w:rPr>
        <w:t xml:space="preserve"> prioritised against the highest quality projects, and allow</w:t>
      </w:r>
      <w:r>
        <w:rPr>
          <w:rFonts w:ascii="Arial" w:hAnsi="Arial" w:cs="Arial"/>
          <w:sz w:val="24"/>
          <w:szCs w:val="24"/>
        </w:rPr>
        <w:t>ed</w:t>
      </w:r>
      <w:r w:rsidRPr="002C513C">
        <w:rPr>
          <w:rFonts w:ascii="Arial" w:hAnsi="Arial" w:cs="Arial"/>
          <w:sz w:val="24"/>
          <w:szCs w:val="24"/>
        </w:rPr>
        <w:t xml:space="preserve"> for a consistent and transparent process the stages of which were:</w:t>
      </w:r>
    </w:p>
    <w:p w:rsidR="00D750B6" w:rsidRPr="002C513C" w:rsidRDefault="00D750B6" w:rsidP="00D750B6">
      <w:pPr>
        <w:spacing w:line="360" w:lineRule="auto"/>
        <w:rPr>
          <w:rFonts w:ascii="Arial" w:hAnsi="Arial" w:cs="Arial"/>
          <w:sz w:val="24"/>
          <w:szCs w:val="24"/>
        </w:rPr>
      </w:pPr>
    </w:p>
    <w:p w:rsidR="00D750B6" w:rsidRPr="002C513C" w:rsidRDefault="00D750B6" w:rsidP="00D750B6">
      <w:pPr>
        <w:spacing w:line="360" w:lineRule="auto"/>
        <w:rPr>
          <w:rFonts w:ascii="Arial" w:hAnsi="Arial" w:cs="Arial"/>
          <w:sz w:val="24"/>
          <w:szCs w:val="24"/>
          <w:u w:val="single"/>
        </w:rPr>
      </w:pPr>
    </w:p>
    <w:p w:rsidR="00D750B6" w:rsidRPr="002C513C" w:rsidRDefault="00D750B6" w:rsidP="00D750B6">
      <w:pPr>
        <w:spacing w:line="360" w:lineRule="auto"/>
        <w:contextualSpacing/>
        <w:rPr>
          <w:rFonts w:ascii="Arial" w:hAnsi="Arial" w:cs="Arial"/>
          <w:sz w:val="24"/>
          <w:szCs w:val="24"/>
        </w:rPr>
      </w:pPr>
      <w:r w:rsidRPr="002C513C">
        <w:rPr>
          <w:rFonts w:ascii="Arial" w:hAnsi="Arial" w:cs="Arial"/>
          <w:b/>
          <w:sz w:val="24"/>
          <w:szCs w:val="24"/>
        </w:rPr>
        <w:t xml:space="preserve">Stage </w:t>
      </w:r>
      <w:r w:rsidRPr="00E01F74">
        <w:rPr>
          <w:rFonts w:ascii="Arial" w:hAnsi="Arial" w:cs="Arial"/>
          <w:sz w:val="24"/>
          <w:szCs w:val="24"/>
        </w:rPr>
        <w:t>1</w:t>
      </w:r>
      <w:r w:rsidRPr="00AF0335">
        <w:rPr>
          <w:rFonts w:ascii="Arial" w:hAnsi="Arial" w:cs="Arial"/>
          <w:sz w:val="24"/>
          <w:szCs w:val="24"/>
        </w:rPr>
        <w:t xml:space="preserve"> </w:t>
      </w:r>
      <w:r w:rsidRPr="00E01F74">
        <w:rPr>
          <w:rFonts w:ascii="Arial" w:hAnsi="Arial" w:cs="Arial"/>
          <w:b/>
          <w:i/>
          <w:sz w:val="24"/>
          <w:szCs w:val="24"/>
        </w:rPr>
        <w:t xml:space="preserve">Remove costs relating to projects that would not require DSD funding </w:t>
      </w:r>
      <w:r w:rsidRPr="00957EAB">
        <w:rPr>
          <w:rFonts w:ascii="Arial" w:hAnsi="Arial" w:cs="Arial"/>
          <w:b/>
          <w:i/>
          <w:sz w:val="24"/>
          <w:szCs w:val="24"/>
        </w:rPr>
        <w:t>in 2015/16</w:t>
      </w:r>
      <w:r w:rsidRPr="00E01F74">
        <w:rPr>
          <w:rFonts w:ascii="Arial" w:hAnsi="Arial" w:cs="Arial"/>
          <w:i/>
          <w:sz w:val="24"/>
          <w:szCs w:val="24"/>
        </w:rPr>
        <w:t>.</w:t>
      </w:r>
      <w:r>
        <w:rPr>
          <w:rFonts w:ascii="Arial" w:hAnsi="Arial" w:cs="Arial"/>
          <w:sz w:val="24"/>
          <w:szCs w:val="24"/>
        </w:rPr>
        <w:t xml:space="preserve"> This included</w:t>
      </w:r>
      <w:r w:rsidRPr="002C513C">
        <w:rPr>
          <w:rFonts w:ascii="Arial" w:hAnsi="Arial" w:cs="Arial"/>
          <w:sz w:val="24"/>
          <w:szCs w:val="24"/>
        </w:rPr>
        <w:t xml:space="preserve"> includ</w:t>
      </w:r>
      <w:r>
        <w:rPr>
          <w:rFonts w:ascii="Arial" w:hAnsi="Arial" w:cs="Arial"/>
          <w:sz w:val="24"/>
          <w:szCs w:val="24"/>
        </w:rPr>
        <w:t>e for example</w:t>
      </w:r>
      <w:r w:rsidRPr="002C513C">
        <w:rPr>
          <w:rFonts w:ascii="Arial" w:hAnsi="Arial" w:cs="Arial"/>
          <w:sz w:val="24"/>
          <w:szCs w:val="24"/>
        </w:rPr>
        <w:t xml:space="preserve"> one-off projects (e.g. refurbishments of premises, purchase of equipment, design fees, community audits and so on) and those projects for which alternative funding in 2015/16 ha</w:t>
      </w:r>
      <w:r>
        <w:rPr>
          <w:rFonts w:ascii="Arial" w:hAnsi="Arial" w:cs="Arial"/>
          <w:sz w:val="24"/>
          <w:szCs w:val="24"/>
        </w:rPr>
        <w:t>d</w:t>
      </w:r>
      <w:r w:rsidRPr="002C513C">
        <w:rPr>
          <w:rFonts w:ascii="Arial" w:hAnsi="Arial" w:cs="Arial"/>
          <w:sz w:val="24"/>
          <w:szCs w:val="24"/>
        </w:rPr>
        <w:t xml:space="preserve"> been secured.</w:t>
      </w:r>
    </w:p>
    <w:p w:rsidR="00D750B6" w:rsidRPr="002C513C" w:rsidRDefault="00D750B6" w:rsidP="00D750B6">
      <w:pPr>
        <w:pStyle w:val="ListParagraph"/>
        <w:spacing w:line="360" w:lineRule="auto"/>
        <w:ind w:left="1077"/>
        <w:rPr>
          <w:rFonts w:ascii="Arial" w:hAnsi="Arial" w:cs="Arial"/>
          <w:sz w:val="24"/>
          <w:szCs w:val="24"/>
        </w:rPr>
      </w:pPr>
    </w:p>
    <w:p w:rsidR="00D750B6" w:rsidRDefault="00D750B6" w:rsidP="00D750B6">
      <w:pPr>
        <w:spacing w:line="360" w:lineRule="auto"/>
        <w:contextualSpacing/>
        <w:rPr>
          <w:rFonts w:ascii="Arial" w:hAnsi="Arial" w:cs="Arial"/>
          <w:sz w:val="24"/>
          <w:szCs w:val="24"/>
        </w:rPr>
      </w:pPr>
      <w:r w:rsidRPr="002C513C">
        <w:rPr>
          <w:rFonts w:ascii="Arial" w:hAnsi="Arial" w:cs="Arial"/>
          <w:b/>
          <w:sz w:val="24"/>
          <w:szCs w:val="24"/>
        </w:rPr>
        <w:t xml:space="preserve">Stage </w:t>
      </w:r>
      <w:proofErr w:type="gramStart"/>
      <w:r w:rsidRPr="002C513C">
        <w:rPr>
          <w:rFonts w:ascii="Arial" w:hAnsi="Arial" w:cs="Arial"/>
          <w:b/>
          <w:sz w:val="24"/>
          <w:szCs w:val="24"/>
        </w:rPr>
        <w:t>2</w:t>
      </w:r>
      <w:r w:rsidRPr="002C513C">
        <w:rPr>
          <w:rFonts w:ascii="Arial" w:hAnsi="Arial" w:cs="Arial"/>
          <w:sz w:val="24"/>
          <w:szCs w:val="24"/>
        </w:rPr>
        <w:t xml:space="preserve">  </w:t>
      </w:r>
      <w:r w:rsidR="00957EAB">
        <w:rPr>
          <w:rFonts w:ascii="Arial" w:hAnsi="Arial" w:cs="Arial"/>
          <w:b/>
          <w:i/>
          <w:sz w:val="24"/>
          <w:szCs w:val="24"/>
        </w:rPr>
        <w:t>Put</w:t>
      </w:r>
      <w:proofErr w:type="gramEnd"/>
      <w:r w:rsidR="00957EAB">
        <w:rPr>
          <w:rFonts w:ascii="Arial" w:hAnsi="Arial" w:cs="Arial"/>
          <w:b/>
          <w:i/>
          <w:sz w:val="24"/>
          <w:szCs w:val="24"/>
        </w:rPr>
        <w:t xml:space="preserve"> all remaining projects</w:t>
      </w:r>
      <w:r w:rsidRPr="00E01F74">
        <w:rPr>
          <w:rFonts w:ascii="Arial" w:hAnsi="Arial" w:cs="Arial"/>
          <w:b/>
          <w:i/>
          <w:sz w:val="24"/>
          <w:szCs w:val="24"/>
        </w:rPr>
        <w:t xml:space="preserve"> through a robust Economic Appraisal process</w:t>
      </w:r>
      <w:r w:rsidRPr="00E01F74">
        <w:rPr>
          <w:rFonts w:ascii="Arial" w:hAnsi="Arial" w:cs="Arial"/>
          <w:b/>
          <w:sz w:val="24"/>
          <w:szCs w:val="24"/>
        </w:rPr>
        <w:t xml:space="preserve">. </w:t>
      </w:r>
      <w:r w:rsidRPr="002C513C">
        <w:rPr>
          <w:rFonts w:ascii="Arial" w:hAnsi="Arial" w:cs="Arial"/>
          <w:sz w:val="24"/>
          <w:szCs w:val="24"/>
        </w:rPr>
        <w:t xml:space="preserve"> The economic appraisal ensure</w:t>
      </w:r>
      <w:r>
        <w:rPr>
          <w:rFonts w:ascii="Arial" w:hAnsi="Arial" w:cs="Arial"/>
          <w:sz w:val="24"/>
          <w:szCs w:val="24"/>
        </w:rPr>
        <w:t>d</w:t>
      </w:r>
      <w:r w:rsidRPr="002C513C">
        <w:rPr>
          <w:rFonts w:ascii="Arial" w:hAnsi="Arial" w:cs="Arial"/>
          <w:sz w:val="24"/>
          <w:szCs w:val="24"/>
        </w:rPr>
        <w:t xml:space="preserve"> that projects</w:t>
      </w:r>
      <w:r>
        <w:rPr>
          <w:rFonts w:ascii="Arial" w:hAnsi="Arial" w:cs="Arial"/>
          <w:sz w:val="24"/>
          <w:szCs w:val="24"/>
        </w:rPr>
        <w:t xml:space="preserve"> had effectively delivered against agreed existing contractual targets and</w:t>
      </w:r>
      <w:r w:rsidRPr="002C513C">
        <w:rPr>
          <w:rFonts w:ascii="Arial" w:hAnsi="Arial" w:cs="Arial"/>
          <w:sz w:val="24"/>
          <w:szCs w:val="24"/>
        </w:rPr>
        <w:t xml:space="preserve"> </w:t>
      </w:r>
      <w:r>
        <w:rPr>
          <w:rFonts w:ascii="Arial" w:hAnsi="Arial" w:cs="Arial"/>
          <w:sz w:val="24"/>
          <w:szCs w:val="24"/>
        </w:rPr>
        <w:t xml:space="preserve">continued to meet identified </w:t>
      </w:r>
      <w:r w:rsidRPr="002C513C">
        <w:rPr>
          <w:rFonts w:ascii="Arial" w:hAnsi="Arial" w:cs="Arial"/>
          <w:sz w:val="24"/>
          <w:szCs w:val="24"/>
        </w:rPr>
        <w:t>need and</w:t>
      </w:r>
      <w:r>
        <w:rPr>
          <w:rFonts w:ascii="Arial" w:hAnsi="Arial" w:cs="Arial"/>
          <w:sz w:val="24"/>
          <w:szCs w:val="24"/>
        </w:rPr>
        <w:t xml:space="preserve"> strategic</w:t>
      </w:r>
      <w:r w:rsidRPr="002C513C">
        <w:rPr>
          <w:rFonts w:ascii="Arial" w:hAnsi="Arial" w:cs="Arial"/>
          <w:sz w:val="24"/>
          <w:szCs w:val="24"/>
        </w:rPr>
        <w:t xml:space="preserve"> priorities</w:t>
      </w:r>
      <w:r>
        <w:rPr>
          <w:rFonts w:ascii="Arial" w:hAnsi="Arial" w:cs="Arial"/>
          <w:sz w:val="24"/>
          <w:szCs w:val="24"/>
        </w:rPr>
        <w:t xml:space="preserve"> going forward. </w:t>
      </w:r>
      <w:r w:rsidRPr="002C513C">
        <w:rPr>
          <w:rFonts w:ascii="Arial" w:hAnsi="Arial" w:cs="Arial"/>
          <w:sz w:val="24"/>
          <w:szCs w:val="24"/>
        </w:rPr>
        <w:t xml:space="preserve"> Those that failed to </w:t>
      </w:r>
      <w:r>
        <w:rPr>
          <w:rFonts w:ascii="Arial" w:hAnsi="Arial" w:cs="Arial"/>
          <w:sz w:val="24"/>
          <w:szCs w:val="24"/>
        </w:rPr>
        <w:t>meet</w:t>
      </w:r>
      <w:r w:rsidRPr="002C513C">
        <w:rPr>
          <w:rFonts w:ascii="Arial" w:hAnsi="Arial" w:cs="Arial"/>
          <w:sz w:val="24"/>
          <w:szCs w:val="24"/>
        </w:rPr>
        <w:t xml:space="preserve"> </w:t>
      </w:r>
      <w:r>
        <w:rPr>
          <w:rFonts w:ascii="Arial" w:hAnsi="Arial" w:cs="Arial"/>
          <w:sz w:val="24"/>
          <w:szCs w:val="24"/>
        </w:rPr>
        <w:t>these</w:t>
      </w:r>
      <w:r w:rsidRPr="002C513C">
        <w:rPr>
          <w:rFonts w:ascii="Arial" w:hAnsi="Arial" w:cs="Arial"/>
          <w:sz w:val="24"/>
          <w:szCs w:val="24"/>
        </w:rPr>
        <w:t xml:space="preserve"> criteria </w:t>
      </w:r>
      <w:r>
        <w:rPr>
          <w:rFonts w:ascii="Arial" w:hAnsi="Arial" w:cs="Arial"/>
          <w:sz w:val="24"/>
          <w:szCs w:val="24"/>
        </w:rPr>
        <w:t>were</w:t>
      </w:r>
      <w:r w:rsidRPr="002C513C">
        <w:rPr>
          <w:rFonts w:ascii="Arial" w:hAnsi="Arial" w:cs="Arial"/>
          <w:sz w:val="24"/>
          <w:szCs w:val="24"/>
        </w:rPr>
        <w:t xml:space="preserve"> no longer considered for funding.</w:t>
      </w:r>
      <w:r>
        <w:rPr>
          <w:rFonts w:ascii="Arial" w:hAnsi="Arial" w:cs="Arial"/>
          <w:sz w:val="24"/>
          <w:szCs w:val="24"/>
        </w:rPr>
        <w:t xml:space="preserve">  Those </w:t>
      </w:r>
      <w:r w:rsidRPr="002C513C">
        <w:rPr>
          <w:rFonts w:ascii="Arial" w:hAnsi="Arial" w:cs="Arial"/>
          <w:sz w:val="24"/>
          <w:szCs w:val="24"/>
        </w:rPr>
        <w:t xml:space="preserve">that passed the economic appraisal </w:t>
      </w:r>
      <w:r>
        <w:rPr>
          <w:rFonts w:ascii="Arial" w:hAnsi="Arial" w:cs="Arial"/>
          <w:sz w:val="24"/>
          <w:szCs w:val="24"/>
        </w:rPr>
        <w:t>were</w:t>
      </w:r>
      <w:r w:rsidRPr="002C513C">
        <w:rPr>
          <w:rFonts w:ascii="Arial" w:hAnsi="Arial" w:cs="Arial"/>
          <w:sz w:val="24"/>
          <w:szCs w:val="24"/>
        </w:rPr>
        <w:t xml:space="preserve"> considered suitable for funding</w:t>
      </w:r>
      <w:r>
        <w:rPr>
          <w:rFonts w:ascii="Arial" w:hAnsi="Arial" w:cs="Arial"/>
          <w:sz w:val="24"/>
          <w:szCs w:val="24"/>
        </w:rPr>
        <w:t xml:space="preserve">. </w:t>
      </w:r>
      <w:r w:rsidRPr="002C513C">
        <w:rPr>
          <w:rFonts w:ascii="Arial" w:hAnsi="Arial" w:cs="Arial"/>
          <w:sz w:val="24"/>
          <w:szCs w:val="24"/>
        </w:rPr>
        <w:t>Where possible</w:t>
      </w:r>
      <w:r>
        <w:rPr>
          <w:rFonts w:ascii="Arial" w:hAnsi="Arial" w:cs="Arial"/>
          <w:sz w:val="24"/>
          <w:szCs w:val="24"/>
        </w:rPr>
        <w:t>,</w:t>
      </w:r>
      <w:r w:rsidRPr="002C513C">
        <w:rPr>
          <w:rFonts w:ascii="Arial" w:hAnsi="Arial" w:cs="Arial"/>
          <w:sz w:val="24"/>
          <w:szCs w:val="24"/>
        </w:rPr>
        <w:t xml:space="preserve"> efficiencies </w:t>
      </w:r>
      <w:r>
        <w:rPr>
          <w:rFonts w:ascii="Arial" w:hAnsi="Arial" w:cs="Arial"/>
          <w:sz w:val="24"/>
          <w:szCs w:val="24"/>
        </w:rPr>
        <w:t>were</w:t>
      </w:r>
      <w:r w:rsidRPr="002C513C">
        <w:rPr>
          <w:rFonts w:ascii="Arial" w:hAnsi="Arial" w:cs="Arial"/>
          <w:sz w:val="24"/>
          <w:szCs w:val="24"/>
        </w:rPr>
        <w:t xml:space="preserve"> identified </w:t>
      </w:r>
      <w:r>
        <w:rPr>
          <w:rFonts w:ascii="Arial" w:hAnsi="Arial" w:cs="Arial"/>
          <w:sz w:val="24"/>
          <w:szCs w:val="24"/>
        </w:rPr>
        <w:t xml:space="preserve">through the economic appraisal process </w:t>
      </w:r>
      <w:r w:rsidRPr="002C513C">
        <w:rPr>
          <w:rFonts w:ascii="Arial" w:hAnsi="Arial" w:cs="Arial"/>
          <w:sz w:val="24"/>
          <w:szCs w:val="24"/>
        </w:rPr>
        <w:t xml:space="preserve">to improve value for money.  </w:t>
      </w:r>
    </w:p>
    <w:p w:rsidR="00D750B6" w:rsidRDefault="00D750B6" w:rsidP="00D750B6">
      <w:pPr>
        <w:spacing w:line="360" w:lineRule="auto"/>
        <w:contextualSpacing/>
        <w:rPr>
          <w:rFonts w:ascii="Arial" w:hAnsi="Arial" w:cs="Arial"/>
          <w:sz w:val="24"/>
          <w:szCs w:val="24"/>
        </w:rPr>
      </w:pPr>
    </w:p>
    <w:p w:rsidR="00D750B6" w:rsidRDefault="00D750B6" w:rsidP="00D750B6">
      <w:pPr>
        <w:spacing w:line="360" w:lineRule="auto"/>
        <w:contextualSpacing/>
        <w:rPr>
          <w:rFonts w:ascii="Arial" w:hAnsi="Arial" w:cs="Arial"/>
          <w:sz w:val="24"/>
          <w:szCs w:val="24"/>
        </w:rPr>
      </w:pPr>
      <w:r w:rsidRPr="002C513C">
        <w:rPr>
          <w:rFonts w:ascii="Arial" w:hAnsi="Arial" w:cs="Arial"/>
          <w:b/>
          <w:sz w:val="24"/>
          <w:szCs w:val="24"/>
        </w:rPr>
        <w:t xml:space="preserve">Stage 3 </w:t>
      </w:r>
      <w:proofErr w:type="gramStart"/>
      <w:r>
        <w:rPr>
          <w:rFonts w:ascii="Arial" w:hAnsi="Arial" w:cs="Arial"/>
          <w:b/>
          <w:sz w:val="24"/>
          <w:szCs w:val="24"/>
        </w:rPr>
        <w:t>Finally</w:t>
      </w:r>
      <w:proofErr w:type="gramEnd"/>
      <w:r>
        <w:rPr>
          <w:rFonts w:ascii="Arial" w:hAnsi="Arial" w:cs="Arial"/>
          <w:b/>
          <w:sz w:val="24"/>
          <w:szCs w:val="24"/>
        </w:rPr>
        <w:t>,</w:t>
      </w:r>
      <w:r>
        <w:rPr>
          <w:rFonts w:ascii="Arial" w:hAnsi="Arial" w:cs="Arial"/>
          <w:sz w:val="24"/>
          <w:szCs w:val="24"/>
        </w:rPr>
        <w:t xml:space="preserve"> </w:t>
      </w:r>
      <w:r w:rsidRPr="00957EAB">
        <w:rPr>
          <w:rFonts w:ascii="Arial" w:hAnsi="Arial" w:cs="Arial"/>
          <w:b/>
          <w:i/>
          <w:sz w:val="24"/>
          <w:szCs w:val="24"/>
        </w:rPr>
        <w:t>subject</w:t>
      </w:r>
      <w:r>
        <w:rPr>
          <w:rFonts w:ascii="Arial" w:hAnsi="Arial" w:cs="Arial"/>
          <w:sz w:val="24"/>
          <w:szCs w:val="24"/>
        </w:rPr>
        <w:t xml:space="preserve"> </w:t>
      </w:r>
      <w:r w:rsidRPr="00E01F74">
        <w:rPr>
          <w:rFonts w:ascii="Arial" w:hAnsi="Arial" w:cs="Arial"/>
          <w:b/>
          <w:i/>
          <w:sz w:val="24"/>
          <w:szCs w:val="24"/>
        </w:rPr>
        <w:t xml:space="preserve">projects </w:t>
      </w:r>
      <w:r>
        <w:rPr>
          <w:rFonts w:ascii="Arial" w:hAnsi="Arial" w:cs="Arial"/>
          <w:b/>
          <w:i/>
          <w:sz w:val="24"/>
          <w:szCs w:val="24"/>
        </w:rPr>
        <w:t xml:space="preserve">to the </w:t>
      </w:r>
      <w:r w:rsidRPr="00E01F74">
        <w:rPr>
          <w:rFonts w:ascii="Arial" w:hAnsi="Arial" w:cs="Arial"/>
          <w:b/>
          <w:i/>
          <w:sz w:val="24"/>
          <w:szCs w:val="24"/>
        </w:rPr>
        <w:t xml:space="preserve">existing </w:t>
      </w:r>
      <w:r>
        <w:rPr>
          <w:rFonts w:ascii="Arial" w:hAnsi="Arial" w:cs="Arial"/>
          <w:b/>
          <w:i/>
          <w:sz w:val="24"/>
          <w:szCs w:val="24"/>
        </w:rPr>
        <w:t xml:space="preserve">Senior level </w:t>
      </w:r>
      <w:r w:rsidRPr="00E01F74">
        <w:rPr>
          <w:rFonts w:ascii="Arial" w:hAnsi="Arial" w:cs="Arial"/>
          <w:b/>
          <w:i/>
          <w:sz w:val="24"/>
          <w:szCs w:val="24"/>
        </w:rPr>
        <w:t>Approval Panel arrangements</w:t>
      </w:r>
      <w:r>
        <w:rPr>
          <w:rFonts w:ascii="Arial" w:hAnsi="Arial" w:cs="Arial"/>
          <w:b/>
          <w:i/>
          <w:sz w:val="24"/>
          <w:szCs w:val="24"/>
        </w:rPr>
        <w:t>,</w:t>
      </w:r>
      <w:r w:rsidRPr="00E01F74">
        <w:rPr>
          <w:rFonts w:ascii="Arial" w:hAnsi="Arial" w:cs="Arial"/>
          <w:b/>
          <w:i/>
          <w:sz w:val="24"/>
          <w:szCs w:val="24"/>
        </w:rPr>
        <w:t xml:space="preserve"> </w:t>
      </w:r>
      <w:r>
        <w:rPr>
          <w:rFonts w:ascii="Arial" w:hAnsi="Arial" w:cs="Arial"/>
          <w:sz w:val="24"/>
          <w:szCs w:val="24"/>
        </w:rPr>
        <w:t xml:space="preserve">where a sample of projects were considered against the set criteria. </w:t>
      </w:r>
    </w:p>
    <w:p w:rsidR="00D750B6" w:rsidRDefault="00D750B6" w:rsidP="00D750B6">
      <w:pPr>
        <w:spacing w:line="360" w:lineRule="auto"/>
        <w:contextualSpacing/>
        <w:rPr>
          <w:rFonts w:ascii="Arial" w:hAnsi="Arial" w:cs="Arial"/>
          <w:sz w:val="24"/>
          <w:szCs w:val="24"/>
        </w:rPr>
      </w:pPr>
    </w:p>
    <w:p w:rsidR="00D750B6" w:rsidRDefault="00D750B6" w:rsidP="00D750B6">
      <w:pPr>
        <w:spacing w:line="360" w:lineRule="auto"/>
        <w:contextualSpacing/>
        <w:rPr>
          <w:rFonts w:ascii="Arial" w:hAnsi="Arial" w:cs="Arial"/>
          <w:sz w:val="24"/>
          <w:szCs w:val="24"/>
        </w:rPr>
      </w:pPr>
      <w:r>
        <w:rPr>
          <w:rFonts w:ascii="Arial" w:hAnsi="Arial" w:cs="Arial"/>
          <w:sz w:val="24"/>
          <w:szCs w:val="24"/>
        </w:rPr>
        <w:t xml:space="preserve">In addition, given the scale of Neighbourhood Renewal a </w:t>
      </w:r>
      <w:r w:rsidRPr="002C513C">
        <w:rPr>
          <w:rFonts w:ascii="Arial" w:hAnsi="Arial" w:cs="Arial"/>
          <w:sz w:val="24"/>
          <w:szCs w:val="24"/>
        </w:rPr>
        <w:t xml:space="preserve">moderation </w:t>
      </w:r>
      <w:r>
        <w:rPr>
          <w:rFonts w:ascii="Arial" w:hAnsi="Arial" w:cs="Arial"/>
          <w:sz w:val="24"/>
          <w:szCs w:val="24"/>
        </w:rPr>
        <w:t xml:space="preserve">exercise independent of the relevant locality (see Annex A) was undertaken  on a project by project basis to </w:t>
      </w:r>
      <w:r w:rsidRPr="002C513C">
        <w:rPr>
          <w:rFonts w:ascii="Arial" w:hAnsi="Arial" w:cs="Arial"/>
          <w:sz w:val="24"/>
          <w:szCs w:val="24"/>
        </w:rPr>
        <w:t>ensure that additionality, duplication and security of funding were assessed consistently across NI.</w:t>
      </w:r>
      <w:r>
        <w:rPr>
          <w:rFonts w:ascii="Arial" w:hAnsi="Arial" w:cs="Arial"/>
          <w:sz w:val="24"/>
          <w:szCs w:val="24"/>
        </w:rPr>
        <w:t xml:space="preserve">    </w:t>
      </w:r>
    </w:p>
    <w:p w:rsidR="00D750B6" w:rsidRDefault="00D750B6" w:rsidP="00D750B6">
      <w:pPr>
        <w:spacing w:after="200" w:line="276" w:lineRule="auto"/>
        <w:rPr>
          <w:rFonts w:ascii="Arial" w:hAnsi="Arial" w:cs="Arial"/>
          <w:sz w:val="24"/>
          <w:szCs w:val="24"/>
        </w:rPr>
      </w:pPr>
      <w:r>
        <w:rPr>
          <w:rFonts w:ascii="Arial" w:hAnsi="Arial" w:cs="Arial"/>
          <w:sz w:val="24"/>
          <w:szCs w:val="24"/>
        </w:rPr>
        <w:br w:type="page"/>
      </w:r>
    </w:p>
    <w:p w:rsidR="00D750B6" w:rsidRDefault="00D750B6" w:rsidP="00D750B6">
      <w:pPr>
        <w:spacing w:line="360" w:lineRule="auto"/>
        <w:contextualSpacing/>
        <w:jc w:val="right"/>
        <w:rPr>
          <w:rFonts w:ascii="Arial" w:hAnsi="Arial" w:cs="Arial"/>
          <w:b/>
          <w:sz w:val="24"/>
          <w:szCs w:val="24"/>
        </w:rPr>
      </w:pPr>
      <w:r>
        <w:rPr>
          <w:rFonts w:ascii="Arial" w:hAnsi="Arial" w:cs="Arial"/>
          <w:b/>
          <w:sz w:val="24"/>
          <w:szCs w:val="24"/>
        </w:rPr>
        <w:lastRenderedPageBreak/>
        <w:t xml:space="preserve">Annex A </w:t>
      </w:r>
    </w:p>
    <w:p w:rsidR="00D750B6" w:rsidRDefault="00D750B6" w:rsidP="00D750B6">
      <w:pPr>
        <w:spacing w:line="360" w:lineRule="auto"/>
        <w:contextualSpacing/>
        <w:rPr>
          <w:rFonts w:ascii="Arial" w:hAnsi="Arial" w:cs="Arial"/>
          <w:b/>
          <w:sz w:val="24"/>
          <w:szCs w:val="24"/>
        </w:rPr>
      </w:pPr>
      <w:r w:rsidRPr="009E7DA6">
        <w:rPr>
          <w:rFonts w:ascii="Arial" w:hAnsi="Arial" w:cs="Arial"/>
          <w:b/>
          <w:sz w:val="24"/>
          <w:szCs w:val="24"/>
        </w:rPr>
        <w:t>The Moderation of Assessment and Economic Appraisals</w:t>
      </w:r>
    </w:p>
    <w:p w:rsidR="00D750B6" w:rsidRPr="009E7DA6" w:rsidRDefault="00D750B6" w:rsidP="00D750B6">
      <w:pPr>
        <w:spacing w:line="360" w:lineRule="auto"/>
        <w:contextualSpacing/>
        <w:rPr>
          <w:rFonts w:ascii="Arial" w:hAnsi="Arial" w:cs="Arial"/>
          <w:b/>
          <w:sz w:val="24"/>
          <w:szCs w:val="24"/>
        </w:rPr>
      </w:pPr>
      <w:r w:rsidRPr="009E7DA6">
        <w:rPr>
          <w:rFonts w:ascii="Arial" w:hAnsi="Arial" w:cs="Arial"/>
          <w:b/>
          <w:sz w:val="24"/>
          <w:szCs w:val="24"/>
        </w:rPr>
        <w:t xml:space="preserve"> </w:t>
      </w:r>
    </w:p>
    <w:p w:rsidR="00D750B6" w:rsidRDefault="00D750B6" w:rsidP="00D750B6">
      <w:pPr>
        <w:spacing w:line="360" w:lineRule="auto"/>
        <w:rPr>
          <w:rFonts w:ascii="Arial" w:hAnsi="Arial" w:cs="Arial"/>
          <w:sz w:val="24"/>
          <w:szCs w:val="24"/>
        </w:rPr>
      </w:pPr>
      <w:r>
        <w:rPr>
          <w:rFonts w:ascii="Arial" w:hAnsi="Arial" w:cs="Arial"/>
          <w:sz w:val="24"/>
          <w:szCs w:val="24"/>
        </w:rPr>
        <w:t>To validate that a consistent approach had been taken across the Group a moderation process was employed as follows:</w:t>
      </w:r>
    </w:p>
    <w:p w:rsidR="00D750B6" w:rsidRDefault="00D750B6" w:rsidP="00D750B6">
      <w:pPr>
        <w:spacing w:line="360" w:lineRule="auto"/>
        <w:rPr>
          <w:rFonts w:ascii="Arial" w:hAnsi="Arial" w:cs="Arial"/>
          <w:sz w:val="24"/>
          <w:szCs w:val="24"/>
        </w:rPr>
      </w:pPr>
      <w:r>
        <w:rPr>
          <w:rFonts w:ascii="Arial" w:hAnsi="Arial" w:cs="Arial"/>
          <w:sz w:val="24"/>
          <w:szCs w:val="24"/>
        </w:rPr>
        <w:t xml:space="preserve">  </w:t>
      </w:r>
    </w:p>
    <w:p w:rsidR="00D750B6" w:rsidRDefault="00D750B6" w:rsidP="00D750B6">
      <w:pPr>
        <w:spacing w:line="360" w:lineRule="auto"/>
        <w:ind w:left="720" w:hanging="720"/>
        <w:rPr>
          <w:rFonts w:ascii="Arial" w:hAnsi="Arial" w:cs="Arial"/>
          <w:sz w:val="24"/>
          <w:szCs w:val="24"/>
        </w:rPr>
      </w:pPr>
      <w:r>
        <w:rPr>
          <w:rFonts w:ascii="Arial" w:hAnsi="Arial" w:cs="Arial"/>
          <w:sz w:val="24"/>
          <w:szCs w:val="24"/>
        </w:rPr>
        <w:t>1</w:t>
      </w:r>
      <w:r>
        <w:rPr>
          <w:rFonts w:ascii="Arial" w:hAnsi="Arial" w:cs="Arial"/>
          <w:sz w:val="24"/>
          <w:szCs w:val="24"/>
        </w:rPr>
        <w:tab/>
        <w:t xml:space="preserve">The moderation process was carried out by staff from another Directorate within the Group from the Development Office region.  The Moderation Officers had to have previous experience in the assessment and appraisal of projects. </w:t>
      </w:r>
    </w:p>
    <w:p w:rsidR="00D750B6" w:rsidRDefault="00D750B6" w:rsidP="00D750B6">
      <w:pPr>
        <w:spacing w:line="360" w:lineRule="auto"/>
        <w:rPr>
          <w:rFonts w:ascii="Arial" w:hAnsi="Arial" w:cs="Arial"/>
          <w:sz w:val="24"/>
          <w:szCs w:val="24"/>
        </w:rPr>
      </w:pPr>
    </w:p>
    <w:p w:rsidR="00D750B6" w:rsidRDefault="00D750B6" w:rsidP="00D750B6">
      <w:pPr>
        <w:spacing w:line="360" w:lineRule="auto"/>
        <w:ind w:left="720" w:hanging="720"/>
        <w:rPr>
          <w:rFonts w:ascii="Arial" w:hAnsi="Arial" w:cs="Arial"/>
          <w:sz w:val="24"/>
          <w:szCs w:val="24"/>
        </w:rPr>
      </w:pPr>
      <w:r>
        <w:rPr>
          <w:rFonts w:ascii="Arial" w:hAnsi="Arial" w:cs="Arial"/>
          <w:sz w:val="24"/>
          <w:szCs w:val="24"/>
        </w:rPr>
        <w:t>2</w:t>
      </w:r>
      <w:r>
        <w:rPr>
          <w:rFonts w:ascii="Arial" w:hAnsi="Arial" w:cs="Arial"/>
          <w:sz w:val="24"/>
          <w:szCs w:val="24"/>
        </w:rPr>
        <w:tab/>
        <w:t xml:space="preserve">The Moderation Officers considered each Economic Appraisal against a number of key questions around the need and impact of the project.  </w:t>
      </w:r>
    </w:p>
    <w:p w:rsidR="00D750B6" w:rsidRPr="00A152B5" w:rsidRDefault="00D750B6" w:rsidP="00D750B6">
      <w:pPr>
        <w:spacing w:line="360" w:lineRule="auto"/>
        <w:rPr>
          <w:rFonts w:ascii="Arial" w:hAnsi="Arial" w:cs="Arial"/>
          <w:sz w:val="24"/>
          <w:szCs w:val="24"/>
        </w:rPr>
      </w:pPr>
    </w:p>
    <w:p w:rsidR="00D750B6" w:rsidRPr="00115534" w:rsidRDefault="00D750B6" w:rsidP="00D750B6">
      <w:pPr>
        <w:spacing w:line="360" w:lineRule="auto"/>
        <w:ind w:left="709"/>
        <w:rPr>
          <w:rFonts w:ascii="Arial" w:hAnsi="Arial" w:cs="Arial"/>
          <w:b/>
          <w:sz w:val="24"/>
          <w:szCs w:val="24"/>
          <w:u w:val="single"/>
        </w:rPr>
      </w:pPr>
      <w:r w:rsidRPr="00115534">
        <w:rPr>
          <w:rFonts w:ascii="Arial" w:hAnsi="Arial" w:cs="Arial"/>
          <w:b/>
          <w:sz w:val="24"/>
          <w:szCs w:val="24"/>
          <w:u w:val="single"/>
        </w:rPr>
        <w:t>Key Questions</w:t>
      </w:r>
    </w:p>
    <w:p w:rsidR="00D750B6" w:rsidRPr="00A152B5" w:rsidRDefault="00D750B6" w:rsidP="00D750B6">
      <w:pPr>
        <w:spacing w:line="360" w:lineRule="auto"/>
        <w:ind w:left="709"/>
        <w:rPr>
          <w:rFonts w:ascii="Arial" w:hAnsi="Arial" w:cs="Arial"/>
          <w:sz w:val="24"/>
          <w:szCs w:val="24"/>
        </w:rPr>
      </w:pPr>
    </w:p>
    <w:p w:rsidR="00D750B6" w:rsidRPr="0090661B" w:rsidRDefault="00D750B6" w:rsidP="00D750B6">
      <w:pPr>
        <w:pStyle w:val="ListParagraph"/>
        <w:numPr>
          <w:ilvl w:val="0"/>
          <w:numId w:val="2"/>
        </w:numPr>
        <w:spacing w:line="360" w:lineRule="auto"/>
        <w:ind w:left="1418" w:hanging="709"/>
        <w:rPr>
          <w:rFonts w:ascii="Arial" w:hAnsi="Arial" w:cs="Arial"/>
          <w:sz w:val="24"/>
          <w:szCs w:val="24"/>
        </w:rPr>
      </w:pPr>
      <w:r w:rsidRPr="0090661B">
        <w:rPr>
          <w:rFonts w:ascii="Arial" w:hAnsi="Arial" w:cs="Arial"/>
          <w:sz w:val="24"/>
          <w:szCs w:val="24"/>
        </w:rPr>
        <w:t xml:space="preserve">Does the project directly meet an identified evidence-based need in the Neighbourhood Renewal Area? </w:t>
      </w:r>
    </w:p>
    <w:p w:rsidR="00D750B6" w:rsidRPr="0090661B" w:rsidRDefault="00D750B6" w:rsidP="00D750B6">
      <w:pPr>
        <w:pStyle w:val="ListParagraph"/>
        <w:numPr>
          <w:ilvl w:val="0"/>
          <w:numId w:val="2"/>
        </w:numPr>
        <w:spacing w:line="360" w:lineRule="auto"/>
        <w:ind w:left="1418" w:hanging="709"/>
        <w:rPr>
          <w:rFonts w:ascii="Arial" w:hAnsi="Arial" w:cs="Arial"/>
          <w:sz w:val="24"/>
          <w:szCs w:val="24"/>
        </w:rPr>
      </w:pPr>
      <w:r w:rsidRPr="0090661B">
        <w:rPr>
          <w:rFonts w:ascii="Arial" w:hAnsi="Arial" w:cs="Arial"/>
          <w:sz w:val="24"/>
          <w:szCs w:val="24"/>
        </w:rPr>
        <w:t xml:space="preserve">Does the project directly address the priorities of the Neighbourhood Action Plan?  </w:t>
      </w:r>
    </w:p>
    <w:p w:rsidR="00D750B6" w:rsidRPr="0090661B" w:rsidRDefault="00D750B6" w:rsidP="00D750B6">
      <w:pPr>
        <w:pStyle w:val="ListParagraph"/>
        <w:numPr>
          <w:ilvl w:val="0"/>
          <w:numId w:val="2"/>
        </w:numPr>
        <w:spacing w:line="360" w:lineRule="auto"/>
        <w:ind w:left="1418" w:hanging="709"/>
        <w:rPr>
          <w:rFonts w:ascii="Arial" w:hAnsi="Arial" w:cs="Arial"/>
          <w:i/>
          <w:sz w:val="24"/>
          <w:szCs w:val="24"/>
        </w:rPr>
      </w:pPr>
      <w:r w:rsidRPr="0090661B">
        <w:rPr>
          <w:rFonts w:ascii="Arial" w:hAnsi="Arial" w:cs="Arial"/>
          <w:sz w:val="24"/>
          <w:szCs w:val="24"/>
        </w:rPr>
        <w:t xml:space="preserve">Does the project deliver benefits directly to the residents of the Neighbourhood Renewal Area?  </w:t>
      </w:r>
    </w:p>
    <w:p w:rsidR="00D750B6" w:rsidRDefault="00D750B6" w:rsidP="00D750B6">
      <w:pPr>
        <w:pStyle w:val="ListParagraph"/>
        <w:numPr>
          <w:ilvl w:val="0"/>
          <w:numId w:val="2"/>
        </w:numPr>
        <w:spacing w:line="360" w:lineRule="auto"/>
        <w:ind w:left="1418" w:hanging="709"/>
        <w:rPr>
          <w:rFonts w:ascii="Arial" w:hAnsi="Arial" w:cs="Arial"/>
          <w:sz w:val="24"/>
          <w:szCs w:val="24"/>
        </w:rPr>
      </w:pPr>
      <w:r>
        <w:rPr>
          <w:rFonts w:ascii="Arial" w:hAnsi="Arial" w:cs="Arial"/>
          <w:sz w:val="24"/>
          <w:szCs w:val="24"/>
        </w:rPr>
        <w:t>W</w:t>
      </w:r>
      <w:r w:rsidRPr="0090661B">
        <w:rPr>
          <w:rFonts w:ascii="Arial" w:hAnsi="Arial" w:cs="Arial"/>
          <w:sz w:val="24"/>
          <w:szCs w:val="24"/>
        </w:rPr>
        <w:t xml:space="preserve">hat proportion of the beneficiaries of the project are residents of the </w:t>
      </w:r>
      <w:r>
        <w:rPr>
          <w:rFonts w:ascii="Arial" w:hAnsi="Arial" w:cs="Arial"/>
          <w:sz w:val="24"/>
          <w:szCs w:val="24"/>
        </w:rPr>
        <w:t xml:space="preserve">  </w:t>
      </w:r>
      <w:r w:rsidRPr="0090661B">
        <w:rPr>
          <w:rFonts w:ascii="Arial" w:hAnsi="Arial" w:cs="Arial"/>
          <w:sz w:val="24"/>
          <w:szCs w:val="24"/>
        </w:rPr>
        <w:t xml:space="preserve">Neighbourhood Renewal Area?  </w:t>
      </w:r>
    </w:p>
    <w:p w:rsidR="00D750B6" w:rsidRPr="0090661B" w:rsidRDefault="00D750B6" w:rsidP="00D750B6">
      <w:pPr>
        <w:pStyle w:val="ListParagraph"/>
        <w:numPr>
          <w:ilvl w:val="0"/>
          <w:numId w:val="2"/>
        </w:numPr>
        <w:spacing w:line="360" w:lineRule="auto"/>
        <w:ind w:left="709" w:firstLine="0"/>
        <w:rPr>
          <w:rFonts w:ascii="Arial" w:hAnsi="Arial" w:cs="Arial"/>
          <w:sz w:val="24"/>
          <w:szCs w:val="24"/>
        </w:rPr>
      </w:pPr>
      <w:r w:rsidRPr="0090661B">
        <w:rPr>
          <w:rFonts w:ascii="Arial" w:hAnsi="Arial" w:cs="Arial"/>
          <w:sz w:val="24"/>
          <w:szCs w:val="24"/>
        </w:rPr>
        <w:t>Have all reasonable cost savings been made on the project?</w:t>
      </w:r>
    </w:p>
    <w:p w:rsidR="00D750B6" w:rsidRPr="002C513C" w:rsidRDefault="00D750B6" w:rsidP="00D750B6">
      <w:pPr>
        <w:spacing w:line="360" w:lineRule="auto"/>
        <w:rPr>
          <w:rFonts w:ascii="Arial" w:hAnsi="Arial" w:cs="Arial"/>
          <w:sz w:val="24"/>
          <w:szCs w:val="24"/>
        </w:rPr>
      </w:pPr>
    </w:p>
    <w:p w:rsidR="00D750B6" w:rsidRDefault="00D750B6" w:rsidP="00D750B6">
      <w:pPr>
        <w:spacing w:line="360" w:lineRule="auto"/>
        <w:contextualSpacing/>
        <w:rPr>
          <w:rFonts w:ascii="Arial" w:hAnsi="Arial" w:cs="Arial"/>
          <w:sz w:val="24"/>
          <w:szCs w:val="24"/>
        </w:rPr>
      </w:pPr>
    </w:p>
    <w:p w:rsidR="005807FB" w:rsidRPr="00D750B6" w:rsidRDefault="005807FB" w:rsidP="00D750B6">
      <w:pPr>
        <w:rPr>
          <w:szCs w:val="24"/>
        </w:rPr>
      </w:pPr>
    </w:p>
    <w:sectPr w:rsidR="005807FB" w:rsidRPr="00D750B6" w:rsidSect="00FC56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46BF3"/>
    <w:multiLevelType w:val="hybridMultilevel"/>
    <w:tmpl w:val="413C2DE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691597"/>
    <w:multiLevelType w:val="hybridMultilevel"/>
    <w:tmpl w:val="D20A4C62"/>
    <w:lvl w:ilvl="0" w:tplc="C53C3654">
      <w:start w:val="1"/>
      <w:numFmt w:val="lowerLetter"/>
      <w:lvlText w:val="%1."/>
      <w:lvlJc w:val="left"/>
      <w:pPr>
        <w:ind w:left="-2017" w:hanging="360"/>
      </w:pPr>
      <w:rPr>
        <w:i w:val="0"/>
        <w:color w:val="auto"/>
      </w:rPr>
    </w:lvl>
    <w:lvl w:ilvl="1" w:tplc="08090019">
      <w:start w:val="1"/>
      <w:numFmt w:val="decimal"/>
      <w:lvlText w:val="%2."/>
      <w:lvlJc w:val="left"/>
      <w:pPr>
        <w:tabs>
          <w:tab w:val="num" w:pos="-1297"/>
        </w:tabs>
        <w:ind w:left="-1297" w:hanging="360"/>
      </w:pPr>
    </w:lvl>
    <w:lvl w:ilvl="2" w:tplc="0809001B">
      <w:start w:val="1"/>
      <w:numFmt w:val="decimal"/>
      <w:lvlText w:val="%3."/>
      <w:lvlJc w:val="left"/>
      <w:pPr>
        <w:tabs>
          <w:tab w:val="num" w:pos="-577"/>
        </w:tabs>
        <w:ind w:left="-577" w:hanging="360"/>
      </w:pPr>
    </w:lvl>
    <w:lvl w:ilvl="3" w:tplc="0809000F">
      <w:start w:val="1"/>
      <w:numFmt w:val="decimal"/>
      <w:lvlText w:val="%4."/>
      <w:lvlJc w:val="left"/>
      <w:pPr>
        <w:tabs>
          <w:tab w:val="num" w:pos="143"/>
        </w:tabs>
        <w:ind w:left="143" w:hanging="360"/>
      </w:pPr>
    </w:lvl>
    <w:lvl w:ilvl="4" w:tplc="08090019">
      <w:start w:val="1"/>
      <w:numFmt w:val="decimal"/>
      <w:lvlText w:val="%5."/>
      <w:lvlJc w:val="left"/>
      <w:pPr>
        <w:tabs>
          <w:tab w:val="num" w:pos="863"/>
        </w:tabs>
        <w:ind w:left="863" w:hanging="360"/>
      </w:pPr>
    </w:lvl>
    <w:lvl w:ilvl="5" w:tplc="0809001B">
      <w:start w:val="1"/>
      <w:numFmt w:val="decimal"/>
      <w:lvlText w:val="%6."/>
      <w:lvlJc w:val="left"/>
      <w:pPr>
        <w:tabs>
          <w:tab w:val="num" w:pos="1583"/>
        </w:tabs>
        <w:ind w:left="1583" w:hanging="360"/>
      </w:pPr>
    </w:lvl>
    <w:lvl w:ilvl="6" w:tplc="0809000F">
      <w:start w:val="1"/>
      <w:numFmt w:val="decimal"/>
      <w:lvlText w:val="%7."/>
      <w:lvlJc w:val="left"/>
      <w:pPr>
        <w:tabs>
          <w:tab w:val="num" w:pos="2303"/>
        </w:tabs>
        <w:ind w:left="2303" w:hanging="360"/>
      </w:pPr>
    </w:lvl>
    <w:lvl w:ilvl="7" w:tplc="08090019">
      <w:start w:val="1"/>
      <w:numFmt w:val="decimal"/>
      <w:lvlText w:val="%8."/>
      <w:lvlJc w:val="left"/>
      <w:pPr>
        <w:tabs>
          <w:tab w:val="num" w:pos="3023"/>
        </w:tabs>
        <w:ind w:left="3023" w:hanging="360"/>
      </w:pPr>
    </w:lvl>
    <w:lvl w:ilvl="8" w:tplc="0809001B">
      <w:start w:val="1"/>
      <w:numFmt w:val="decimal"/>
      <w:lvlText w:val="%9."/>
      <w:lvlJc w:val="left"/>
      <w:pPr>
        <w:tabs>
          <w:tab w:val="num" w:pos="3743"/>
        </w:tabs>
        <w:ind w:left="3743"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178"/>
    <w:rsid w:val="00034CD7"/>
    <w:rsid w:val="000D1278"/>
    <w:rsid w:val="00100C22"/>
    <w:rsid w:val="00162838"/>
    <w:rsid w:val="00171807"/>
    <w:rsid w:val="001B0EBB"/>
    <w:rsid w:val="00282A43"/>
    <w:rsid w:val="002D3D81"/>
    <w:rsid w:val="00447E7E"/>
    <w:rsid w:val="00482818"/>
    <w:rsid w:val="004C354D"/>
    <w:rsid w:val="004F2D43"/>
    <w:rsid w:val="005807FB"/>
    <w:rsid w:val="005926F4"/>
    <w:rsid w:val="00610716"/>
    <w:rsid w:val="0061521E"/>
    <w:rsid w:val="00643D94"/>
    <w:rsid w:val="006620DC"/>
    <w:rsid w:val="006E3C36"/>
    <w:rsid w:val="00710862"/>
    <w:rsid w:val="00846A25"/>
    <w:rsid w:val="00860944"/>
    <w:rsid w:val="0088297E"/>
    <w:rsid w:val="00952E28"/>
    <w:rsid w:val="00957EAB"/>
    <w:rsid w:val="00977880"/>
    <w:rsid w:val="009822B0"/>
    <w:rsid w:val="009C33D4"/>
    <w:rsid w:val="00A0416C"/>
    <w:rsid w:val="00A22757"/>
    <w:rsid w:val="00A81D5C"/>
    <w:rsid w:val="00B4207D"/>
    <w:rsid w:val="00C839A1"/>
    <w:rsid w:val="00CB0D5F"/>
    <w:rsid w:val="00D750B6"/>
    <w:rsid w:val="00D91D4D"/>
    <w:rsid w:val="00DD2E57"/>
    <w:rsid w:val="00DE0178"/>
    <w:rsid w:val="00F17477"/>
    <w:rsid w:val="00F31270"/>
    <w:rsid w:val="00F83F38"/>
    <w:rsid w:val="00FB7CF0"/>
    <w:rsid w:val="00FC568F"/>
    <w:rsid w:val="00FD2D3C"/>
    <w:rsid w:val="00FF14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1F63AE-5241-4719-BA10-7A571BDEB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178"/>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basedOn w:val="DefaultParagraphFont"/>
    <w:link w:val="ListParagraph"/>
    <w:uiPriority w:val="34"/>
    <w:locked/>
    <w:rsid w:val="00DE0178"/>
    <w:rPr>
      <w:rFonts w:ascii="Times New Roman" w:eastAsia="Times New Roman" w:hAnsi="Times New Roman" w:cs="Times New Roman"/>
      <w:sz w:val="20"/>
      <w:szCs w:val="20"/>
      <w:lang w:eastAsia="en-GB"/>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
    <w:basedOn w:val="Normal"/>
    <w:link w:val="ListParagraphChar"/>
    <w:uiPriority w:val="34"/>
    <w:qFormat/>
    <w:rsid w:val="00DE0178"/>
    <w:pPr>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4578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McGread</dc:creator>
  <cp:keywords/>
  <dc:description/>
  <cp:lastModifiedBy>Jenny McEneaney</cp:lastModifiedBy>
  <cp:revision>2</cp:revision>
  <dcterms:created xsi:type="dcterms:W3CDTF">2015-11-17T10:32:00Z</dcterms:created>
  <dcterms:modified xsi:type="dcterms:W3CDTF">2015-11-17T10:32:00Z</dcterms:modified>
</cp:coreProperties>
</file>