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CC" w:rsidRDefault="00DB7007">
      <w:bookmarkStart w:id="0" w:name="_GoBack"/>
      <w:bookmarkEnd w:id="0"/>
      <w:r>
        <w:t>Financial Support</w:t>
      </w:r>
      <w:r w:rsidRPr="00DB7007">
        <w:t xml:space="preserve"> </w:t>
      </w:r>
      <w:r>
        <w:t>for Business in NI</w:t>
      </w:r>
    </w:p>
    <w:p w:rsidR="00DB7007" w:rsidRDefault="00DB7007"/>
    <w:p w:rsidR="00DB7007" w:rsidRDefault="00DB7007">
      <w:r>
        <w:t>Table:</w:t>
      </w:r>
    </w:p>
    <w:tbl>
      <w:tblPr>
        <w:tblStyle w:val="TableGrid"/>
        <w:tblW w:w="0" w:type="auto"/>
        <w:tblLook w:val="04A0" w:firstRow="1" w:lastRow="0" w:firstColumn="1" w:lastColumn="0" w:noHBand="0" w:noVBand="1"/>
      </w:tblPr>
      <w:tblGrid>
        <w:gridCol w:w="1439"/>
        <w:gridCol w:w="950"/>
        <w:gridCol w:w="917"/>
        <w:gridCol w:w="1886"/>
        <w:gridCol w:w="861"/>
        <w:gridCol w:w="999"/>
        <w:gridCol w:w="4227"/>
        <w:gridCol w:w="2669"/>
      </w:tblGrid>
      <w:tr w:rsidR="00085037" w:rsidTr="00CF704B">
        <w:tc>
          <w:tcPr>
            <w:tcW w:w="1438" w:type="dxa"/>
          </w:tcPr>
          <w:p w:rsidR="00CF704B" w:rsidRPr="00F671C2" w:rsidRDefault="00CF704B">
            <w:pPr>
              <w:rPr>
                <w:b/>
                <w:sz w:val="20"/>
                <w:szCs w:val="20"/>
              </w:rPr>
            </w:pPr>
            <w:r w:rsidRPr="00F671C2">
              <w:rPr>
                <w:b/>
                <w:sz w:val="20"/>
                <w:szCs w:val="20"/>
              </w:rPr>
              <w:t>Support</w:t>
            </w:r>
          </w:p>
        </w:tc>
        <w:tc>
          <w:tcPr>
            <w:tcW w:w="951" w:type="dxa"/>
          </w:tcPr>
          <w:p w:rsidR="00CF704B" w:rsidRPr="00F671C2" w:rsidRDefault="00CF704B">
            <w:pPr>
              <w:rPr>
                <w:b/>
                <w:sz w:val="20"/>
                <w:szCs w:val="20"/>
              </w:rPr>
            </w:pPr>
            <w:r w:rsidRPr="00F671C2">
              <w:rPr>
                <w:b/>
                <w:sz w:val="20"/>
                <w:szCs w:val="20"/>
              </w:rPr>
              <w:t>Provider</w:t>
            </w:r>
          </w:p>
        </w:tc>
        <w:tc>
          <w:tcPr>
            <w:tcW w:w="2835" w:type="dxa"/>
            <w:gridSpan w:val="2"/>
          </w:tcPr>
          <w:p w:rsidR="00CF704B" w:rsidRPr="006A1A60" w:rsidRDefault="00CF704B">
            <w:pPr>
              <w:rPr>
                <w:sz w:val="20"/>
                <w:szCs w:val="20"/>
              </w:rPr>
            </w:pPr>
            <w:r w:rsidRPr="006A1A60">
              <w:rPr>
                <w:sz w:val="20"/>
                <w:szCs w:val="20"/>
              </w:rPr>
              <w:t>Description</w:t>
            </w:r>
          </w:p>
        </w:tc>
        <w:tc>
          <w:tcPr>
            <w:tcW w:w="867" w:type="dxa"/>
          </w:tcPr>
          <w:p w:rsidR="00CF704B" w:rsidRPr="00F671C2" w:rsidRDefault="00CF704B" w:rsidP="00942EBA">
            <w:pPr>
              <w:rPr>
                <w:b/>
                <w:sz w:val="20"/>
                <w:szCs w:val="20"/>
              </w:rPr>
            </w:pPr>
            <w:r>
              <w:rPr>
                <w:b/>
                <w:sz w:val="20"/>
                <w:szCs w:val="20"/>
              </w:rPr>
              <w:t>Cost</w:t>
            </w:r>
          </w:p>
        </w:tc>
        <w:tc>
          <w:tcPr>
            <w:tcW w:w="850" w:type="dxa"/>
          </w:tcPr>
          <w:p w:rsidR="00CF704B" w:rsidRPr="00F671C2" w:rsidRDefault="002E6D14" w:rsidP="002E6D14">
            <w:pPr>
              <w:rPr>
                <w:b/>
                <w:sz w:val="20"/>
                <w:szCs w:val="20"/>
              </w:rPr>
            </w:pPr>
            <w:r>
              <w:rPr>
                <w:b/>
                <w:sz w:val="20"/>
                <w:szCs w:val="20"/>
              </w:rPr>
              <w:t xml:space="preserve">Effect on </w:t>
            </w:r>
            <w:r w:rsidR="00CF704B">
              <w:rPr>
                <w:b/>
                <w:sz w:val="20"/>
                <w:szCs w:val="20"/>
              </w:rPr>
              <w:t xml:space="preserve">Tax Revenue </w:t>
            </w:r>
          </w:p>
        </w:tc>
        <w:tc>
          <w:tcPr>
            <w:tcW w:w="4309" w:type="dxa"/>
          </w:tcPr>
          <w:p w:rsidR="00CF704B" w:rsidRPr="00F671C2" w:rsidRDefault="00CF704B" w:rsidP="00942EBA">
            <w:pPr>
              <w:rPr>
                <w:b/>
                <w:sz w:val="20"/>
                <w:szCs w:val="20"/>
              </w:rPr>
            </w:pPr>
            <w:r w:rsidRPr="00F671C2">
              <w:rPr>
                <w:b/>
                <w:sz w:val="20"/>
                <w:szCs w:val="20"/>
              </w:rPr>
              <w:t>Rationale/objectives</w:t>
            </w:r>
          </w:p>
        </w:tc>
        <w:tc>
          <w:tcPr>
            <w:tcW w:w="2698" w:type="dxa"/>
          </w:tcPr>
          <w:p w:rsidR="00CF704B" w:rsidRPr="00F671C2" w:rsidRDefault="00CF704B" w:rsidP="00942EBA">
            <w:pPr>
              <w:rPr>
                <w:b/>
                <w:sz w:val="20"/>
                <w:szCs w:val="20"/>
              </w:rPr>
            </w:pPr>
            <w:r w:rsidRPr="00F671C2">
              <w:rPr>
                <w:b/>
                <w:sz w:val="20"/>
                <w:szCs w:val="20"/>
              </w:rPr>
              <w:t>Impact/Evaluations</w:t>
            </w:r>
          </w:p>
        </w:tc>
      </w:tr>
      <w:tr w:rsidR="00CF704B" w:rsidTr="00CF704B">
        <w:tc>
          <w:tcPr>
            <w:tcW w:w="3308" w:type="dxa"/>
            <w:gridSpan w:val="3"/>
          </w:tcPr>
          <w:p w:rsidR="00CF704B" w:rsidRPr="006A1A60" w:rsidRDefault="00CF704B" w:rsidP="006A1A60">
            <w:pPr>
              <w:rPr>
                <w:sz w:val="20"/>
                <w:szCs w:val="20"/>
              </w:rPr>
            </w:pPr>
          </w:p>
        </w:tc>
        <w:tc>
          <w:tcPr>
            <w:tcW w:w="10640" w:type="dxa"/>
            <w:gridSpan w:val="5"/>
          </w:tcPr>
          <w:p w:rsidR="00CF704B" w:rsidRPr="006A1A60" w:rsidRDefault="00CF704B" w:rsidP="006A1A60">
            <w:pPr>
              <w:rPr>
                <w:sz w:val="20"/>
                <w:szCs w:val="20"/>
              </w:rPr>
            </w:pPr>
            <w:r w:rsidRPr="006A1A60">
              <w:rPr>
                <w:sz w:val="20"/>
                <w:szCs w:val="20"/>
              </w:rPr>
              <w:t>RATES</w:t>
            </w:r>
          </w:p>
        </w:tc>
      </w:tr>
      <w:tr w:rsidR="00085037" w:rsidRPr="00352A97" w:rsidTr="00CF704B">
        <w:tc>
          <w:tcPr>
            <w:tcW w:w="1438" w:type="dxa"/>
          </w:tcPr>
          <w:p w:rsidR="00CF704B" w:rsidRPr="00942EBA" w:rsidRDefault="00CF704B">
            <w:pPr>
              <w:rPr>
                <w:sz w:val="20"/>
                <w:szCs w:val="20"/>
              </w:rPr>
            </w:pPr>
            <w:r w:rsidRPr="00942EBA">
              <w:rPr>
                <w:sz w:val="20"/>
                <w:szCs w:val="20"/>
              </w:rPr>
              <w:t>Small business rate relief</w:t>
            </w:r>
            <w:r>
              <w:rPr>
                <w:rStyle w:val="FootnoteReference"/>
                <w:sz w:val="20"/>
                <w:szCs w:val="20"/>
              </w:rPr>
              <w:footnoteReference w:id="1"/>
            </w:r>
          </w:p>
        </w:tc>
        <w:tc>
          <w:tcPr>
            <w:tcW w:w="951" w:type="dxa"/>
          </w:tcPr>
          <w:p w:rsidR="00CF704B" w:rsidRPr="00942EBA" w:rsidRDefault="00CF704B">
            <w:pPr>
              <w:rPr>
                <w:sz w:val="20"/>
                <w:szCs w:val="20"/>
              </w:rPr>
            </w:pPr>
            <w:r>
              <w:rPr>
                <w:sz w:val="20"/>
                <w:szCs w:val="20"/>
              </w:rPr>
              <w:t>DFP</w:t>
            </w:r>
          </w:p>
        </w:tc>
        <w:tc>
          <w:tcPr>
            <w:tcW w:w="2835" w:type="dxa"/>
            <w:gridSpan w:val="2"/>
          </w:tcPr>
          <w:p w:rsidR="00CF704B" w:rsidRDefault="00CF704B" w:rsidP="00F30A8E">
            <w:pPr>
              <w:rPr>
                <w:sz w:val="20"/>
                <w:szCs w:val="20"/>
              </w:rPr>
            </w:pPr>
            <w:r>
              <w:rPr>
                <w:sz w:val="20"/>
                <w:szCs w:val="20"/>
              </w:rPr>
              <w:t xml:space="preserve">Introduced in April 2010. </w:t>
            </w:r>
          </w:p>
          <w:p w:rsidR="00CF704B" w:rsidRDefault="00CF704B" w:rsidP="00F30A8E">
            <w:pPr>
              <w:rPr>
                <w:sz w:val="20"/>
                <w:szCs w:val="20"/>
              </w:rPr>
            </w:pPr>
            <w:r>
              <w:rPr>
                <w:sz w:val="20"/>
                <w:szCs w:val="20"/>
              </w:rPr>
              <w:t>Non-domestic properties with a net annual value (NAV) of:</w:t>
            </w:r>
          </w:p>
          <w:p w:rsidR="00CF704B" w:rsidRDefault="00CF704B" w:rsidP="00392906">
            <w:pPr>
              <w:pStyle w:val="ListParagraph"/>
              <w:numPr>
                <w:ilvl w:val="0"/>
                <w:numId w:val="1"/>
              </w:numPr>
              <w:rPr>
                <w:sz w:val="20"/>
                <w:szCs w:val="20"/>
              </w:rPr>
            </w:pPr>
            <w:r w:rsidRPr="00392906">
              <w:rPr>
                <w:sz w:val="20"/>
                <w:szCs w:val="20"/>
              </w:rPr>
              <w:t xml:space="preserve">Up to £2000 receive a reduction of 50%. </w:t>
            </w:r>
          </w:p>
          <w:p w:rsidR="00CF704B" w:rsidRDefault="00CF704B" w:rsidP="00F30A8E">
            <w:pPr>
              <w:pStyle w:val="ListParagraph"/>
              <w:numPr>
                <w:ilvl w:val="0"/>
                <w:numId w:val="1"/>
              </w:numPr>
              <w:rPr>
                <w:sz w:val="20"/>
                <w:szCs w:val="20"/>
              </w:rPr>
            </w:pPr>
            <w:r>
              <w:rPr>
                <w:sz w:val="20"/>
                <w:szCs w:val="20"/>
              </w:rPr>
              <w:t>Over</w:t>
            </w:r>
            <w:r w:rsidRPr="00392906">
              <w:rPr>
                <w:sz w:val="20"/>
                <w:szCs w:val="20"/>
              </w:rPr>
              <w:t xml:space="preserve"> £2000 but not more than £5000 receive a reduction of 25%. </w:t>
            </w:r>
          </w:p>
          <w:p w:rsidR="00CF704B" w:rsidRPr="00392906" w:rsidRDefault="00CF704B" w:rsidP="00F30A8E">
            <w:pPr>
              <w:pStyle w:val="ListParagraph"/>
              <w:numPr>
                <w:ilvl w:val="0"/>
                <w:numId w:val="1"/>
              </w:numPr>
              <w:rPr>
                <w:sz w:val="20"/>
                <w:szCs w:val="20"/>
              </w:rPr>
            </w:pPr>
            <w:r>
              <w:rPr>
                <w:sz w:val="20"/>
                <w:szCs w:val="20"/>
              </w:rPr>
              <w:t>O</w:t>
            </w:r>
            <w:r w:rsidRPr="00392906">
              <w:rPr>
                <w:sz w:val="20"/>
                <w:szCs w:val="20"/>
              </w:rPr>
              <w:t>ver £5000 but not more than £15</w:t>
            </w:r>
            <w:r>
              <w:rPr>
                <w:sz w:val="20"/>
                <w:szCs w:val="20"/>
              </w:rPr>
              <w:t xml:space="preserve">,000 </w:t>
            </w:r>
            <w:r w:rsidRPr="00392906">
              <w:rPr>
                <w:sz w:val="20"/>
                <w:szCs w:val="20"/>
              </w:rPr>
              <w:t xml:space="preserve">receive a reduction of 20%. </w:t>
            </w:r>
          </w:p>
          <w:p w:rsidR="00CF704B" w:rsidRDefault="00CF704B" w:rsidP="00F30A8E">
            <w:pPr>
              <w:rPr>
                <w:sz w:val="20"/>
                <w:szCs w:val="20"/>
              </w:rPr>
            </w:pPr>
            <w:r>
              <w:rPr>
                <w:sz w:val="20"/>
                <w:szCs w:val="20"/>
              </w:rPr>
              <w:t>Post offices with a NAV of:</w:t>
            </w:r>
          </w:p>
          <w:p w:rsidR="00CF704B" w:rsidRDefault="00CF704B" w:rsidP="00392906">
            <w:pPr>
              <w:pStyle w:val="ListParagraph"/>
              <w:numPr>
                <w:ilvl w:val="0"/>
                <w:numId w:val="2"/>
              </w:numPr>
              <w:rPr>
                <w:sz w:val="20"/>
                <w:szCs w:val="20"/>
              </w:rPr>
            </w:pPr>
            <w:r w:rsidRPr="00392906">
              <w:rPr>
                <w:sz w:val="20"/>
                <w:szCs w:val="20"/>
              </w:rPr>
              <w:t>Up to £9000 rece</w:t>
            </w:r>
            <w:r>
              <w:rPr>
                <w:sz w:val="20"/>
                <w:szCs w:val="20"/>
              </w:rPr>
              <w:t xml:space="preserve">ive a 100% reduction. </w:t>
            </w:r>
          </w:p>
          <w:p w:rsidR="00CF704B" w:rsidRDefault="00CF704B" w:rsidP="00F30A8E">
            <w:pPr>
              <w:pStyle w:val="ListParagraph"/>
              <w:numPr>
                <w:ilvl w:val="0"/>
                <w:numId w:val="2"/>
              </w:numPr>
              <w:rPr>
                <w:sz w:val="20"/>
                <w:szCs w:val="20"/>
              </w:rPr>
            </w:pPr>
            <w:r>
              <w:rPr>
                <w:sz w:val="20"/>
                <w:szCs w:val="20"/>
              </w:rPr>
              <w:t xml:space="preserve"> O</w:t>
            </w:r>
            <w:r w:rsidRPr="00392906">
              <w:rPr>
                <w:sz w:val="20"/>
                <w:szCs w:val="20"/>
              </w:rPr>
              <w:t xml:space="preserve">ver £9000 but not more than £12,000 receive a 50% reduction. </w:t>
            </w:r>
          </w:p>
          <w:p w:rsidR="00CF704B" w:rsidRPr="00392906" w:rsidRDefault="00CF704B" w:rsidP="00F30A8E">
            <w:pPr>
              <w:pStyle w:val="ListParagraph"/>
              <w:numPr>
                <w:ilvl w:val="0"/>
                <w:numId w:val="2"/>
              </w:numPr>
              <w:rPr>
                <w:sz w:val="20"/>
                <w:szCs w:val="20"/>
              </w:rPr>
            </w:pPr>
            <w:r>
              <w:rPr>
                <w:sz w:val="20"/>
                <w:szCs w:val="20"/>
              </w:rPr>
              <w:t>O</w:t>
            </w:r>
            <w:r w:rsidRPr="00392906">
              <w:rPr>
                <w:sz w:val="20"/>
                <w:szCs w:val="20"/>
              </w:rPr>
              <w:t>ver £12,000 but not more than £15,000 receive a reduction of £20%.</w:t>
            </w:r>
          </w:p>
          <w:p w:rsidR="00CF704B" w:rsidRDefault="00CF704B" w:rsidP="00F30A8E">
            <w:pPr>
              <w:rPr>
                <w:sz w:val="20"/>
                <w:szCs w:val="20"/>
              </w:rPr>
            </w:pPr>
          </w:p>
          <w:p w:rsidR="00CF704B" w:rsidRPr="00942EBA" w:rsidRDefault="00CF704B" w:rsidP="00F30A8E">
            <w:pPr>
              <w:rPr>
                <w:sz w:val="20"/>
                <w:szCs w:val="20"/>
              </w:rPr>
            </w:pPr>
            <w:r>
              <w:rPr>
                <w:sz w:val="20"/>
                <w:szCs w:val="20"/>
              </w:rPr>
              <w:t xml:space="preserve">There is no application process for SBRR, relief is applied automatically to all businesses that qualify for the scheme. </w:t>
            </w:r>
          </w:p>
        </w:tc>
        <w:tc>
          <w:tcPr>
            <w:tcW w:w="867" w:type="dxa"/>
          </w:tcPr>
          <w:p w:rsidR="00CF704B" w:rsidRDefault="00CF704B">
            <w:pPr>
              <w:rPr>
                <w:sz w:val="20"/>
                <w:szCs w:val="20"/>
              </w:rPr>
            </w:pPr>
          </w:p>
          <w:p w:rsidR="00CF704B" w:rsidRPr="00942EBA" w:rsidRDefault="00CF704B">
            <w:pPr>
              <w:rPr>
                <w:sz w:val="20"/>
                <w:szCs w:val="20"/>
              </w:rPr>
            </w:pPr>
            <w:r>
              <w:rPr>
                <w:sz w:val="20"/>
                <w:szCs w:val="20"/>
              </w:rPr>
              <w:t xml:space="preserve"> </w:t>
            </w:r>
          </w:p>
        </w:tc>
        <w:tc>
          <w:tcPr>
            <w:tcW w:w="850" w:type="dxa"/>
          </w:tcPr>
          <w:p w:rsidR="00CF704B" w:rsidRDefault="00CF704B" w:rsidP="00CF704B">
            <w:pPr>
              <w:ind w:left="45"/>
              <w:rPr>
                <w:sz w:val="20"/>
                <w:szCs w:val="20"/>
              </w:rPr>
            </w:pPr>
            <w:r>
              <w:rPr>
                <w:sz w:val="20"/>
                <w:szCs w:val="20"/>
              </w:rPr>
              <w:t>-</w:t>
            </w:r>
            <w:r w:rsidRPr="00CF704B">
              <w:rPr>
                <w:sz w:val="20"/>
                <w:szCs w:val="20"/>
              </w:rPr>
              <w:t>£17m</w:t>
            </w:r>
          </w:p>
          <w:p w:rsidR="00CF704B" w:rsidRPr="00DF0D48" w:rsidRDefault="00CF704B" w:rsidP="00CF704B">
            <w:pPr>
              <w:ind w:left="45"/>
              <w:rPr>
                <w:sz w:val="20"/>
                <w:szCs w:val="20"/>
              </w:rPr>
            </w:pPr>
            <w:r>
              <w:rPr>
                <w:sz w:val="20"/>
                <w:szCs w:val="20"/>
              </w:rPr>
              <w:t>-£62m (over 5 years)</w:t>
            </w:r>
          </w:p>
        </w:tc>
        <w:tc>
          <w:tcPr>
            <w:tcW w:w="4309" w:type="dxa"/>
          </w:tcPr>
          <w:p w:rsidR="00CF704B" w:rsidRDefault="00CF704B" w:rsidP="00DF0D48">
            <w:pPr>
              <w:ind w:left="45"/>
              <w:rPr>
                <w:sz w:val="20"/>
                <w:szCs w:val="20"/>
              </w:rPr>
            </w:pPr>
            <w:r w:rsidRPr="00DF0D48">
              <w:rPr>
                <w:sz w:val="20"/>
                <w:szCs w:val="20"/>
              </w:rPr>
              <w:t>The SBRR was introduced as an anti-recessionary measure. By 2010, the NI Economy was in it</w:t>
            </w:r>
            <w:r>
              <w:rPr>
                <w:sz w:val="20"/>
                <w:szCs w:val="20"/>
              </w:rPr>
              <w:t>s third year of recession, the consensus at that time</w:t>
            </w:r>
            <w:r w:rsidRPr="00DF0D48">
              <w:rPr>
                <w:sz w:val="20"/>
                <w:szCs w:val="20"/>
              </w:rPr>
              <w:t xml:space="preserve"> </w:t>
            </w:r>
            <w:r>
              <w:rPr>
                <w:sz w:val="20"/>
                <w:szCs w:val="20"/>
              </w:rPr>
              <w:t>was that</w:t>
            </w:r>
            <w:r w:rsidRPr="00DF0D48">
              <w:rPr>
                <w:sz w:val="20"/>
                <w:szCs w:val="20"/>
              </w:rPr>
              <w:t xml:space="preserve"> SBRR was an appropriate policy for the NI Executive to launch </w:t>
            </w:r>
            <w:r>
              <w:rPr>
                <w:sz w:val="20"/>
                <w:szCs w:val="20"/>
              </w:rPr>
              <w:t>given</w:t>
            </w:r>
            <w:r w:rsidRPr="00DF0D48">
              <w:rPr>
                <w:sz w:val="20"/>
                <w:szCs w:val="20"/>
              </w:rPr>
              <w:t xml:space="preserve"> the context of the</w:t>
            </w:r>
            <w:r>
              <w:rPr>
                <w:sz w:val="20"/>
                <w:szCs w:val="20"/>
              </w:rPr>
              <w:t xml:space="preserve"> economic</w:t>
            </w:r>
            <w:r w:rsidRPr="00DF0D48">
              <w:rPr>
                <w:sz w:val="20"/>
                <w:szCs w:val="20"/>
              </w:rPr>
              <w:t xml:space="preserve"> conditions</w:t>
            </w:r>
            <w:r>
              <w:rPr>
                <w:sz w:val="20"/>
                <w:szCs w:val="20"/>
              </w:rPr>
              <w:t xml:space="preserve"> at the time</w:t>
            </w:r>
            <w:r w:rsidRPr="00DF0D48">
              <w:rPr>
                <w:sz w:val="20"/>
                <w:szCs w:val="20"/>
              </w:rPr>
              <w:t xml:space="preserve"> and the fact that England, </w:t>
            </w:r>
            <w:r>
              <w:rPr>
                <w:sz w:val="20"/>
                <w:szCs w:val="20"/>
              </w:rPr>
              <w:t>Scotland and Wales</w:t>
            </w:r>
            <w:r w:rsidRPr="00DF0D48">
              <w:rPr>
                <w:sz w:val="20"/>
                <w:szCs w:val="20"/>
              </w:rPr>
              <w:t xml:space="preserve"> </w:t>
            </w:r>
            <w:r>
              <w:rPr>
                <w:sz w:val="20"/>
                <w:szCs w:val="20"/>
              </w:rPr>
              <w:t>all</w:t>
            </w:r>
            <w:r w:rsidRPr="00DF0D48">
              <w:rPr>
                <w:sz w:val="20"/>
                <w:szCs w:val="20"/>
              </w:rPr>
              <w:t xml:space="preserve"> had thei</w:t>
            </w:r>
            <w:r>
              <w:rPr>
                <w:sz w:val="20"/>
                <w:szCs w:val="20"/>
              </w:rPr>
              <w:t xml:space="preserve">r own versions of SBRR in place. </w:t>
            </w:r>
          </w:p>
          <w:p w:rsidR="00CF704B" w:rsidRDefault="00CF704B" w:rsidP="00DF0D48">
            <w:pPr>
              <w:ind w:left="45"/>
            </w:pPr>
            <w:r>
              <w:rPr>
                <w:sz w:val="20"/>
                <w:szCs w:val="20"/>
              </w:rPr>
              <w:t>It was important in 2010 that</w:t>
            </w:r>
            <w:r w:rsidRPr="00DF0D48">
              <w:rPr>
                <w:sz w:val="20"/>
                <w:szCs w:val="20"/>
              </w:rPr>
              <w:t xml:space="preserve"> the Government </w:t>
            </w:r>
            <w:r>
              <w:rPr>
                <w:sz w:val="20"/>
                <w:szCs w:val="20"/>
              </w:rPr>
              <w:t>be seen to value</w:t>
            </w:r>
            <w:r w:rsidRPr="00DF0D48">
              <w:rPr>
                <w:sz w:val="20"/>
                <w:szCs w:val="20"/>
              </w:rPr>
              <w:t xml:space="preserve"> small</w:t>
            </w:r>
            <w:r>
              <w:rPr>
                <w:sz w:val="20"/>
                <w:szCs w:val="20"/>
              </w:rPr>
              <w:t xml:space="preserve"> businesses</w:t>
            </w:r>
            <w:r w:rsidRPr="00DF0D48">
              <w:rPr>
                <w:sz w:val="20"/>
                <w:szCs w:val="20"/>
              </w:rPr>
              <w:t>.</w:t>
            </w:r>
            <w:r>
              <w:t xml:space="preserve"> </w:t>
            </w:r>
          </w:p>
          <w:p w:rsidR="00CF704B" w:rsidRPr="00DF0D48" w:rsidRDefault="00CF704B" w:rsidP="00DF0D48">
            <w:pPr>
              <w:ind w:left="45"/>
              <w:rPr>
                <w:sz w:val="20"/>
                <w:szCs w:val="20"/>
              </w:rPr>
            </w:pPr>
            <w:r w:rsidRPr="00DF0D48">
              <w:rPr>
                <w:sz w:val="20"/>
                <w:szCs w:val="20"/>
              </w:rPr>
              <w:t>The SBRR scheme was introduced</w:t>
            </w:r>
            <w:r>
              <w:rPr>
                <w:sz w:val="20"/>
                <w:szCs w:val="20"/>
              </w:rPr>
              <w:t xml:space="preserve"> therefore</w:t>
            </w:r>
            <w:r w:rsidRPr="00DF0D48">
              <w:rPr>
                <w:sz w:val="20"/>
                <w:szCs w:val="20"/>
              </w:rPr>
              <w:t xml:space="preserve"> as a political measure, rather than via a “Value for Money” approval. T</w:t>
            </w:r>
            <w:r>
              <w:rPr>
                <w:sz w:val="20"/>
                <w:szCs w:val="20"/>
              </w:rPr>
              <w:t>he implication is that there were</w:t>
            </w:r>
            <w:r w:rsidRPr="00DF0D48">
              <w:rPr>
                <w:sz w:val="20"/>
                <w:szCs w:val="20"/>
              </w:rPr>
              <w:t xml:space="preserve"> no specific economic targets set within the approval of the scheme, such as increasing employment, investment, productivity or output.</w:t>
            </w:r>
          </w:p>
          <w:p w:rsidR="00CF704B" w:rsidRPr="00942EBA" w:rsidRDefault="00CF704B" w:rsidP="00392906">
            <w:pPr>
              <w:rPr>
                <w:sz w:val="20"/>
                <w:szCs w:val="20"/>
              </w:rPr>
            </w:pPr>
          </w:p>
        </w:tc>
        <w:tc>
          <w:tcPr>
            <w:tcW w:w="2698" w:type="dxa"/>
          </w:tcPr>
          <w:p w:rsidR="00CF704B" w:rsidRDefault="00CF704B" w:rsidP="00352A97">
            <w:pPr>
              <w:rPr>
                <w:sz w:val="20"/>
                <w:szCs w:val="20"/>
              </w:rPr>
            </w:pPr>
            <w:r>
              <w:rPr>
                <w:sz w:val="20"/>
                <w:szCs w:val="20"/>
              </w:rPr>
              <w:t>SBRR</w:t>
            </w:r>
            <w:r w:rsidRPr="00B27407">
              <w:rPr>
                <w:sz w:val="20"/>
                <w:szCs w:val="20"/>
              </w:rPr>
              <w:t xml:space="preserve"> </w:t>
            </w:r>
            <w:r>
              <w:rPr>
                <w:sz w:val="20"/>
                <w:szCs w:val="20"/>
              </w:rPr>
              <w:t xml:space="preserve">provided help for </w:t>
            </w:r>
            <w:r w:rsidRPr="00B27407">
              <w:rPr>
                <w:sz w:val="20"/>
                <w:szCs w:val="20"/>
              </w:rPr>
              <w:t>ratepayers with</w:t>
            </w:r>
            <w:r>
              <w:rPr>
                <w:sz w:val="20"/>
                <w:szCs w:val="20"/>
              </w:rPr>
              <w:t xml:space="preserve"> regard to</w:t>
            </w:r>
            <w:r w:rsidRPr="00B27407">
              <w:rPr>
                <w:sz w:val="20"/>
                <w:szCs w:val="20"/>
              </w:rPr>
              <w:t xml:space="preserve"> cash flow, survival and keeping the cost of overheads down. </w:t>
            </w:r>
          </w:p>
          <w:p w:rsidR="00CF704B" w:rsidRDefault="00CF704B" w:rsidP="00352A97">
            <w:pPr>
              <w:rPr>
                <w:sz w:val="20"/>
                <w:szCs w:val="20"/>
              </w:rPr>
            </w:pPr>
            <w:r>
              <w:rPr>
                <w:sz w:val="20"/>
                <w:szCs w:val="20"/>
              </w:rPr>
              <w:t xml:space="preserve">It </w:t>
            </w:r>
            <w:r w:rsidRPr="00352A97">
              <w:rPr>
                <w:sz w:val="20"/>
                <w:szCs w:val="20"/>
              </w:rPr>
              <w:t>was introduced by the NI Executive to help ratepayers through the recession. It is clear that the scheme was very well received and ratepayers were grateful for the relief that they were awarded. Therefore, from the NI Executives perspective, it could be considered a success as those associated with its introduction received many plaudits.</w:t>
            </w:r>
          </w:p>
          <w:p w:rsidR="00CF704B" w:rsidRDefault="00CF704B" w:rsidP="00352A97">
            <w:pPr>
              <w:rPr>
                <w:sz w:val="20"/>
                <w:szCs w:val="20"/>
              </w:rPr>
            </w:pPr>
            <w:r w:rsidRPr="00B27407">
              <w:rPr>
                <w:sz w:val="20"/>
                <w:szCs w:val="20"/>
              </w:rPr>
              <w:t xml:space="preserve">However, there was limited evidence of incentivisation of quantifiable additional economic activity arising from the scheme – some reported investments in signs and a </w:t>
            </w:r>
            <w:r w:rsidRPr="00B27407">
              <w:rPr>
                <w:sz w:val="20"/>
                <w:szCs w:val="20"/>
              </w:rPr>
              <w:lastRenderedPageBreak/>
              <w:t xml:space="preserve">very small number noted that they increased employment. </w:t>
            </w:r>
          </w:p>
          <w:p w:rsidR="00CF704B" w:rsidRPr="00942EBA" w:rsidRDefault="00CF704B" w:rsidP="00352A97">
            <w:pPr>
              <w:rPr>
                <w:sz w:val="20"/>
                <w:szCs w:val="20"/>
              </w:rPr>
            </w:pPr>
            <w:r w:rsidRPr="00B27407">
              <w:rPr>
                <w:sz w:val="20"/>
                <w:szCs w:val="20"/>
              </w:rPr>
              <w:t>In economic terms, SBRR did not generate enough measureable additional activity and was limited in terms of cost effectiveness. In conclusion from an economic perspective the</w:t>
            </w:r>
            <w:r w:rsidRPr="00352A97">
              <w:rPr>
                <w:sz w:val="20"/>
                <w:szCs w:val="20"/>
              </w:rPr>
              <w:t xml:space="preserve"> </w:t>
            </w:r>
            <w:r w:rsidRPr="00B27407">
              <w:rPr>
                <w:sz w:val="20"/>
                <w:szCs w:val="20"/>
              </w:rPr>
              <w:t>scheme provided a low level of Value for Money.</w:t>
            </w:r>
            <w:r>
              <w:rPr>
                <w:rStyle w:val="FootnoteReference"/>
                <w:sz w:val="20"/>
                <w:szCs w:val="20"/>
              </w:rPr>
              <w:footnoteReference w:id="2"/>
            </w:r>
          </w:p>
        </w:tc>
      </w:tr>
      <w:tr w:rsidR="00085037" w:rsidTr="00CF704B">
        <w:tc>
          <w:tcPr>
            <w:tcW w:w="1438" w:type="dxa"/>
          </w:tcPr>
          <w:p w:rsidR="00CF704B" w:rsidRPr="00942EBA" w:rsidRDefault="00CF704B">
            <w:pPr>
              <w:rPr>
                <w:sz w:val="20"/>
                <w:szCs w:val="20"/>
              </w:rPr>
            </w:pPr>
            <w:r w:rsidRPr="00942EBA">
              <w:rPr>
                <w:sz w:val="20"/>
                <w:szCs w:val="20"/>
              </w:rPr>
              <w:lastRenderedPageBreak/>
              <w:t>Empty Retail Premises Relief scheme</w:t>
            </w:r>
            <w:r>
              <w:rPr>
                <w:rStyle w:val="FootnoteReference"/>
                <w:sz w:val="20"/>
                <w:szCs w:val="20"/>
              </w:rPr>
              <w:footnoteReference w:id="3"/>
            </w:r>
          </w:p>
        </w:tc>
        <w:tc>
          <w:tcPr>
            <w:tcW w:w="951" w:type="dxa"/>
          </w:tcPr>
          <w:p w:rsidR="00CF704B" w:rsidRPr="00942EBA" w:rsidRDefault="00CF704B">
            <w:pPr>
              <w:rPr>
                <w:sz w:val="20"/>
                <w:szCs w:val="20"/>
              </w:rPr>
            </w:pPr>
            <w:r>
              <w:rPr>
                <w:sz w:val="20"/>
                <w:szCs w:val="20"/>
              </w:rPr>
              <w:t>DFP</w:t>
            </w:r>
          </w:p>
        </w:tc>
        <w:tc>
          <w:tcPr>
            <w:tcW w:w="2835" w:type="dxa"/>
            <w:gridSpan w:val="2"/>
          </w:tcPr>
          <w:p w:rsidR="00CF704B" w:rsidRDefault="00CF704B">
            <w:pPr>
              <w:rPr>
                <w:sz w:val="20"/>
                <w:szCs w:val="20"/>
              </w:rPr>
            </w:pPr>
            <w:r>
              <w:rPr>
                <w:sz w:val="20"/>
                <w:szCs w:val="20"/>
              </w:rPr>
              <w:t>Introduced in 2012.</w:t>
            </w:r>
          </w:p>
          <w:p w:rsidR="00CF704B" w:rsidRDefault="00CF704B">
            <w:pPr>
              <w:rPr>
                <w:sz w:val="20"/>
                <w:szCs w:val="20"/>
              </w:rPr>
            </w:pPr>
            <w:r>
              <w:rPr>
                <w:sz w:val="20"/>
                <w:szCs w:val="20"/>
              </w:rPr>
              <w:t xml:space="preserve">Offers 50% rate relief for up to a year once retail premises become occupied. </w:t>
            </w:r>
          </w:p>
          <w:p w:rsidR="00CF704B" w:rsidRPr="00942EBA" w:rsidRDefault="00CF704B">
            <w:pPr>
              <w:rPr>
                <w:sz w:val="20"/>
                <w:szCs w:val="20"/>
              </w:rPr>
            </w:pPr>
            <w:r>
              <w:rPr>
                <w:sz w:val="20"/>
                <w:szCs w:val="20"/>
              </w:rPr>
              <w:t xml:space="preserve">The scheme applies to any business ratepayer, who moves into premises, which were previously used for retail purposes and have been unoccupied for 12 months or more.  </w:t>
            </w:r>
          </w:p>
        </w:tc>
        <w:tc>
          <w:tcPr>
            <w:tcW w:w="867" w:type="dxa"/>
          </w:tcPr>
          <w:p w:rsidR="00CF704B" w:rsidRPr="00942EBA" w:rsidRDefault="00CF704B" w:rsidP="00523DD3">
            <w:pPr>
              <w:rPr>
                <w:sz w:val="20"/>
                <w:szCs w:val="20"/>
              </w:rPr>
            </w:pPr>
          </w:p>
        </w:tc>
        <w:tc>
          <w:tcPr>
            <w:tcW w:w="850" w:type="dxa"/>
          </w:tcPr>
          <w:p w:rsidR="002D444B" w:rsidRPr="002D444B" w:rsidRDefault="002D444B" w:rsidP="002D444B">
            <w:pPr>
              <w:rPr>
                <w:sz w:val="20"/>
                <w:szCs w:val="20"/>
              </w:rPr>
            </w:pPr>
            <w:r>
              <w:rPr>
                <w:sz w:val="20"/>
                <w:szCs w:val="20"/>
              </w:rPr>
              <w:t>-</w:t>
            </w:r>
            <w:r w:rsidRPr="002D444B">
              <w:rPr>
                <w:sz w:val="20"/>
                <w:szCs w:val="20"/>
              </w:rPr>
              <w:t>£56m</w:t>
            </w:r>
          </w:p>
          <w:p w:rsidR="00CF704B" w:rsidRDefault="002D444B" w:rsidP="002D444B">
            <w:pPr>
              <w:rPr>
                <w:sz w:val="20"/>
                <w:szCs w:val="20"/>
              </w:rPr>
            </w:pPr>
            <w:r>
              <w:rPr>
                <w:sz w:val="20"/>
                <w:szCs w:val="20"/>
              </w:rPr>
              <w:t>-</w:t>
            </w:r>
            <w:r w:rsidRPr="002D444B">
              <w:rPr>
                <w:sz w:val="20"/>
                <w:szCs w:val="20"/>
              </w:rPr>
              <w:t>£4m-4.5m</w:t>
            </w:r>
            <w:r>
              <w:rPr>
                <w:sz w:val="20"/>
                <w:szCs w:val="20"/>
              </w:rPr>
              <w:t xml:space="preserve"> </w:t>
            </w:r>
          </w:p>
        </w:tc>
        <w:tc>
          <w:tcPr>
            <w:tcW w:w="4309" w:type="dxa"/>
          </w:tcPr>
          <w:p w:rsidR="00CF704B" w:rsidRPr="00942EBA" w:rsidRDefault="00CF704B">
            <w:pPr>
              <w:rPr>
                <w:sz w:val="20"/>
                <w:szCs w:val="20"/>
              </w:rPr>
            </w:pPr>
            <w:r>
              <w:rPr>
                <w:sz w:val="20"/>
                <w:szCs w:val="20"/>
              </w:rPr>
              <w:t xml:space="preserve">Introduced to get long-term empty retail premises back into business use. </w:t>
            </w:r>
          </w:p>
        </w:tc>
        <w:tc>
          <w:tcPr>
            <w:tcW w:w="2698" w:type="dxa"/>
          </w:tcPr>
          <w:p w:rsidR="00CF704B" w:rsidRPr="00942EBA" w:rsidRDefault="00CF704B">
            <w:pPr>
              <w:rPr>
                <w:sz w:val="20"/>
                <w:szCs w:val="20"/>
              </w:rPr>
            </w:pPr>
          </w:p>
        </w:tc>
      </w:tr>
      <w:tr w:rsidR="00085037" w:rsidTr="00CF704B">
        <w:tc>
          <w:tcPr>
            <w:tcW w:w="1438" w:type="dxa"/>
          </w:tcPr>
          <w:p w:rsidR="00CF704B" w:rsidRPr="00942EBA" w:rsidRDefault="00CF704B">
            <w:pPr>
              <w:rPr>
                <w:sz w:val="20"/>
                <w:szCs w:val="20"/>
              </w:rPr>
            </w:pPr>
            <w:r w:rsidRPr="00942EBA">
              <w:rPr>
                <w:sz w:val="20"/>
                <w:szCs w:val="20"/>
              </w:rPr>
              <w:t>Rating of Empty Homes</w:t>
            </w:r>
            <w:r>
              <w:rPr>
                <w:sz w:val="20"/>
                <w:szCs w:val="20"/>
              </w:rPr>
              <w:t xml:space="preserve"> exclusion</w:t>
            </w:r>
            <w:r>
              <w:rPr>
                <w:rStyle w:val="FootnoteReference"/>
                <w:sz w:val="20"/>
                <w:szCs w:val="20"/>
              </w:rPr>
              <w:footnoteReference w:id="4"/>
            </w:r>
          </w:p>
        </w:tc>
        <w:tc>
          <w:tcPr>
            <w:tcW w:w="951" w:type="dxa"/>
          </w:tcPr>
          <w:p w:rsidR="00CF704B" w:rsidRPr="00942EBA" w:rsidRDefault="00CF704B">
            <w:pPr>
              <w:rPr>
                <w:sz w:val="20"/>
                <w:szCs w:val="20"/>
              </w:rPr>
            </w:pPr>
            <w:r>
              <w:rPr>
                <w:sz w:val="20"/>
                <w:szCs w:val="20"/>
              </w:rPr>
              <w:t>DFP</w:t>
            </w:r>
          </w:p>
        </w:tc>
        <w:tc>
          <w:tcPr>
            <w:tcW w:w="2835" w:type="dxa"/>
            <w:gridSpan w:val="2"/>
          </w:tcPr>
          <w:p w:rsidR="00CF704B" w:rsidRDefault="00CF704B" w:rsidP="00523DD3">
            <w:pPr>
              <w:rPr>
                <w:sz w:val="20"/>
                <w:szCs w:val="20"/>
              </w:rPr>
            </w:pPr>
            <w:r>
              <w:rPr>
                <w:sz w:val="20"/>
                <w:szCs w:val="20"/>
              </w:rPr>
              <w:t>For a vacant property with</w:t>
            </w:r>
            <w:r w:rsidRPr="00523DD3">
              <w:rPr>
                <w:sz w:val="20"/>
                <w:szCs w:val="20"/>
              </w:rPr>
              <w:t xml:space="preserve"> a rateable capital value of under £20,000 the vacant property will be autom</w:t>
            </w:r>
            <w:r>
              <w:rPr>
                <w:sz w:val="20"/>
                <w:szCs w:val="20"/>
              </w:rPr>
              <w:t>atically excluded from rates. Application based exclusions are also available.</w:t>
            </w:r>
          </w:p>
          <w:p w:rsidR="00CF704B" w:rsidRPr="00523DD3" w:rsidRDefault="00CF704B" w:rsidP="00523DD3">
            <w:pPr>
              <w:rPr>
                <w:sz w:val="20"/>
                <w:szCs w:val="20"/>
              </w:rPr>
            </w:pPr>
            <w:r w:rsidRPr="00523DD3">
              <w:rPr>
                <w:sz w:val="20"/>
                <w:szCs w:val="20"/>
              </w:rPr>
              <w:t>The exclusion categories are:</w:t>
            </w:r>
          </w:p>
          <w:p w:rsidR="00CF704B" w:rsidRPr="00C26419" w:rsidRDefault="00CF704B" w:rsidP="00523DD3">
            <w:pPr>
              <w:pStyle w:val="ListParagraph"/>
              <w:numPr>
                <w:ilvl w:val="0"/>
                <w:numId w:val="4"/>
              </w:numPr>
              <w:rPr>
                <w:sz w:val="20"/>
                <w:szCs w:val="20"/>
              </w:rPr>
            </w:pPr>
            <w:r w:rsidRPr="00C26419">
              <w:rPr>
                <w:sz w:val="20"/>
                <w:szCs w:val="20"/>
              </w:rPr>
              <w:t>the empty home cannot be legally occupied by anybody</w:t>
            </w:r>
          </w:p>
          <w:p w:rsidR="00CF704B" w:rsidRPr="00C26419" w:rsidRDefault="00CF704B" w:rsidP="00523DD3">
            <w:pPr>
              <w:pStyle w:val="ListParagraph"/>
              <w:numPr>
                <w:ilvl w:val="0"/>
                <w:numId w:val="4"/>
              </w:numPr>
              <w:rPr>
                <w:sz w:val="20"/>
                <w:szCs w:val="20"/>
              </w:rPr>
            </w:pPr>
            <w:r w:rsidRPr="00C26419">
              <w:rPr>
                <w:sz w:val="20"/>
                <w:szCs w:val="20"/>
              </w:rPr>
              <w:lastRenderedPageBreak/>
              <w:t>the empty home cannot be occupied by anybody due to the actions of a public body</w:t>
            </w:r>
          </w:p>
          <w:p w:rsidR="00CF704B" w:rsidRPr="00C26419" w:rsidRDefault="00CF704B" w:rsidP="00523DD3">
            <w:pPr>
              <w:pStyle w:val="ListParagraph"/>
              <w:numPr>
                <w:ilvl w:val="0"/>
                <w:numId w:val="4"/>
              </w:numPr>
              <w:rPr>
                <w:sz w:val="20"/>
                <w:szCs w:val="20"/>
              </w:rPr>
            </w:pPr>
            <w:r w:rsidRPr="00C26419">
              <w:rPr>
                <w:sz w:val="20"/>
                <w:szCs w:val="20"/>
              </w:rPr>
              <w:t>the empty home is a listed building</w:t>
            </w:r>
          </w:p>
          <w:p w:rsidR="00CF704B" w:rsidRPr="00C26419" w:rsidRDefault="00CF704B" w:rsidP="00523DD3">
            <w:pPr>
              <w:pStyle w:val="ListParagraph"/>
              <w:numPr>
                <w:ilvl w:val="0"/>
                <w:numId w:val="4"/>
              </w:numPr>
              <w:rPr>
                <w:sz w:val="20"/>
                <w:szCs w:val="20"/>
              </w:rPr>
            </w:pPr>
            <w:r w:rsidRPr="00C26419">
              <w:rPr>
                <w:sz w:val="20"/>
                <w:szCs w:val="20"/>
              </w:rPr>
              <w:t>the empty home is an historic monument</w:t>
            </w:r>
          </w:p>
          <w:p w:rsidR="00CF704B" w:rsidRPr="00C26419" w:rsidRDefault="00CF704B" w:rsidP="00523DD3">
            <w:pPr>
              <w:pStyle w:val="ListParagraph"/>
              <w:numPr>
                <w:ilvl w:val="0"/>
                <w:numId w:val="4"/>
              </w:numPr>
              <w:rPr>
                <w:sz w:val="20"/>
                <w:szCs w:val="20"/>
              </w:rPr>
            </w:pPr>
            <w:r w:rsidRPr="00C26419">
              <w:rPr>
                <w:sz w:val="20"/>
                <w:szCs w:val="20"/>
              </w:rPr>
              <w:t>the empty home is in the possession of the personal representative of a deceased person</w:t>
            </w:r>
          </w:p>
          <w:p w:rsidR="00CF704B" w:rsidRPr="00C26419" w:rsidRDefault="00CF704B" w:rsidP="00523DD3">
            <w:pPr>
              <w:pStyle w:val="ListParagraph"/>
              <w:numPr>
                <w:ilvl w:val="0"/>
                <w:numId w:val="4"/>
              </w:numPr>
              <w:rPr>
                <w:sz w:val="20"/>
                <w:szCs w:val="20"/>
              </w:rPr>
            </w:pPr>
            <w:r w:rsidRPr="00C26419">
              <w:rPr>
                <w:sz w:val="20"/>
                <w:szCs w:val="20"/>
              </w:rPr>
              <w:t>the owner is subject to a bankruptcy order</w:t>
            </w:r>
          </w:p>
          <w:p w:rsidR="00CF704B" w:rsidRPr="00C26419" w:rsidRDefault="00CF704B" w:rsidP="00523DD3">
            <w:pPr>
              <w:pStyle w:val="ListParagraph"/>
              <w:numPr>
                <w:ilvl w:val="0"/>
                <w:numId w:val="4"/>
              </w:numPr>
              <w:rPr>
                <w:sz w:val="20"/>
                <w:szCs w:val="20"/>
              </w:rPr>
            </w:pPr>
            <w:r w:rsidRPr="00C26419">
              <w:rPr>
                <w:sz w:val="20"/>
                <w:szCs w:val="20"/>
              </w:rPr>
              <w:t>the owner is a trustee under a deed of arrangement</w:t>
            </w:r>
          </w:p>
          <w:p w:rsidR="00CF704B" w:rsidRPr="00C26419" w:rsidRDefault="00CF704B" w:rsidP="00523DD3">
            <w:pPr>
              <w:pStyle w:val="ListParagraph"/>
              <w:numPr>
                <w:ilvl w:val="0"/>
                <w:numId w:val="4"/>
              </w:numPr>
              <w:rPr>
                <w:sz w:val="20"/>
                <w:szCs w:val="20"/>
              </w:rPr>
            </w:pPr>
            <w:r w:rsidRPr="00C26419">
              <w:rPr>
                <w:sz w:val="20"/>
                <w:szCs w:val="20"/>
              </w:rPr>
              <w:t>the owner is a company in administration</w:t>
            </w:r>
          </w:p>
          <w:p w:rsidR="00CF704B" w:rsidRPr="00C26419" w:rsidRDefault="00CF704B" w:rsidP="00523DD3">
            <w:pPr>
              <w:pStyle w:val="ListParagraph"/>
              <w:numPr>
                <w:ilvl w:val="0"/>
                <w:numId w:val="4"/>
              </w:numPr>
              <w:rPr>
                <w:sz w:val="20"/>
                <w:szCs w:val="20"/>
              </w:rPr>
            </w:pPr>
            <w:r w:rsidRPr="00C26419">
              <w:rPr>
                <w:sz w:val="20"/>
                <w:szCs w:val="20"/>
              </w:rPr>
              <w:t>the owner of a property is a liquidator</w:t>
            </w:r>
          </w:p>
          <w:p w:rsidR="00CF704B" w:rsidRPr="00C26419" w:rsidRDefault="00CF704B" w:rsidP="00523DD3">
            <w:pPr>
              <w:pStyle w:val="ListParagraph"/>
              <w:numPr>
                <w:ilvl w:val="0"/>
                <w:numId w:val="4"/>
              </w:numPr>
              <w:rPr>
                <w:sz w:val="20"/>
                <w:szCs w:val="20"/>
              </w:rPr>
            </w:pPr>
            <w:r w:rsidRPr="00C26419">
              <w:rPr>
                <w:sz w:val="20"/>
                <w:szCs w:val="20"/>
              </w:rPr>
              <w:t xml:space="preserve">the owner is the Foyle, </w:t>
            </w:r>
            <w:proofErr w:type="spellStart"/>
            <w:r w:rsidRPr="00C26419">
              <w:rPr>
                <w:sz w:val="20"/>
                <w:szCs w:val="20"/>
              </w:rPr>
              <w:t>Carlingford</w:t>
            </w:r>
            <w:proofErr w:type="spellEnd"/>
            <w:r w:rsidRPr="00C26419">
              <w:rPr>
                <w:sz w:val="20"/>
                <w:szCs w:val="20"/>
              </w:rPr>
              <w:t xml:space="preserve"> and Irish Lights Commission</w:t>
            </w:r>
          </w:p>
          <w:p w:rsidR="00CF704B" w:rsidRPr="00C26419" w:rsidRDefault="00CF704B" w:rsidP="00523DD3">
            <w:pPr>
              <w:pStyle w:val="ListParagraph"/>
              <w:numPr>
                <w:ilvl w:val="0"/>
                <w:numId w:val="4"/>
              </w:numPr>
              <w:rPr>
                <w:sz w:val="20"/>
                <w:szCs w:val="20"/>
              </w:rPr>
            </w:pPr>
            <w:r w:rsidRPr="00C26419">
              <w:rPr>
                <w:sz w:val="20"/>
                <w:szCs w:val="20"/>
              </w:rPr>
              <w:t>the owner(s) are in care (nursing home, residential care or hospital)</w:t>
            </w:r>
          </w:p>
          <w:p w:rsidR="00CF704B" w:rsidRPr="00C26419" w:rsidRDefault="00CF704B" w:rsidP="00523DD3">
            <w:pPr>
              <w:pStyle w:val="ListParagraph"/>
              <w:numPr>
                <w:ilvl w:val="0"/>
                <w:numId w:val="4"/>
              </w:numPr>
              <w:rPr>
                <w:sz w:val="20"/>
                <w:szCs w:val="20"/>
              </w:rPr>
            </w:pPr>
            <w:r w:rsidRPr="00C26419">
              <w:rPr>
                <w:sz w:val="20"/>
                <w:szCs w:val="20"/>
              </w:rPr>
              <w:t>the owner(s) are in detention</w:t>
            </w:r>
          </w:p>
          <w:p w:rsidR="00CF704B" w:rsidRPr="00523DD3" w:rsidRDefault="00CF704B" w:rsidP="00523DD3">
            <w:pPr>
              <w:pStyle w:val="ListParagraph"/>
              <w:numPr>
                <w:ilvl w:val="0"/>
                <w:numId w:val="4"/>
              </w:numPr>
              <w:rPr>
                <w:sz w:val="20"/>
                <w:szCs w:val="20"/>
              </w:rPr>
            </w:pPr>
            <w:r w:rsidRPr="00C26419">
              <w:rPr>
                <w:sz w:val="20"/>
                <w:szCs w:val="20"/>
              </w:rPr>
              <w:t>the owner(s) have made a successful application to the Northern Ireland Housing Executive under the terms of Special Purchase of an Evacuated Dwelling (SPED) scheme</w:t>
            </w:r>
          </w:p>
        </w:tc>
        <w:tc>
          <w:tcPr>
            <w:tcW w:w="867" w:type="dxa"/>
          </w:tcPr>
          <w:p w:rsidR="00CF704B" w:rsidRPr="00942EBA" w:rsidRDefault="00CF704B">
            <w:pPr>
              <w:rPr>
                <w:sz w:val="20"/>
                <w:szCs w:val="20"/>
              </w:rPr>
            </w:pPr>
          </w:p>
        </w:tc>
        <w:tc>
          <w:tcPr>
            <w:tcW w:w="850" w:type="dxa"/>
          </w:tcPr>
          <w:p w:rsidR="00CF704B" w:rsidRPr="00942EBA" w:rsidRDefault="002E6D14">
            <w:pPr>
              <w:rPr>
                <w:sz w:val="20"/>
                <w:szCs w:val="20"/>
              </w:rPr>
            </w:pPr>
            <w:r>
              <w:rPr>
                <w:sz w:val="20"/>
                <w:szCs w:val="20"/>
              </w:rPr>
              <w:t>Unknown</w:t>
            </w:r>
          </w:p>
        </w:tc>
        <w:tc>
          <w:tcPr>
            <w:tcW w:w="4309" w:type="dxa"/>
          </w:tcPr>
          <w:p w:rsidR="00CF704B" w:rsidRPr="00942EBA" w:rsidRDefault="00CF704B">
            <w:pPr>
              <w:rPr>
                <w:sz w:val="20"/>
                <w:szCs w:val="20"/>
              </w:rPr>
            </w:pPr>
          </w:p>
        </w:tc>
        <w:tc>
          <w:tcPr>
            <w:tcW w:w="2698" w:type="dxa"/>
          </w:tcPr>
          <w:p w:rsidR="00CF704B" w:rsidRPr="00942EBA" w:rsidRDefault="00CF704B">
            <w:pPr>
              <w:rPr>
                <w:sz w:val="20"/>
                <w:szCs w:val="20"/>
              </w:rPr>
            </w:pPr>
          </w:p>
        </w:tc>
      </w:tr>
      <w:tr w:rsidR="00085037" w:rsidTr="00CF704B">
        <w:tc>
          <w:tcPr>
            <w:tcW w:w="1438" w:type="dxa"/>
          </w:tcPr>
          <w:p w:rsidR="00CF704B" w:rsidRPr="00D8479F" w:rsidRDefault="00CF704B" w:rsidP="00D8479F">
            <w:pPr>
              <w:rPr>
                <w:sz w:val="20"/>
                <w:szCs w:val="20"/>
              </w:rPr>
            </w:pPr>
            <w:r>
              <w:rPr>
                <w:sz w:val="20"/>
                <w:szCs w:val="20"/>
              </w:rPr>
              <w:lastRenderedPageBreak/>
              <w:t>Charitable exemption</w:t>
            </w:r>
            <w:r>
              <w:rPr>
                <w:rStyle w:val="FootnoteReference"/>
                <w:sz w:val="20"/>
                <w:szCs w:val="20"/>
              </w:rPr>
              <w:footnoteReference w:id="5"/>
            </w:r>
          </w:p>
        </w:tc>
        <w:tc>
          <w:tcPr>
            <w:tcW w:w="951" w:type="dxa"/>
          </w:tcPr>
          <w:p w:rsidR="00CF704B" w:rsidRDefault="00CF704B">
            <w:pPr>
              <w:rPr>
                <w:sz w:val="20"/>
                <w:szCs w:val="20"/>
              </w:rPr>
            </w:pPr>
            <w:r>
              <w:rPr>
                <w:sz w:val="20"/>
                <w:szCs w:val="20"/>
              </w:rPr>
              <w:t>DFP</w:t>
            </w:r>
          </w:p>
        </w:tc>
        <w:tc>
          <w:tcPr>
            <w:tcW w:w="2835" w:type="dxa"/>
            <w:gridSpan w:val="2"/>
          </w:tcPr>
          <w:p w:rsidR="00CF704B" w:rsidRPr="007B7BB9"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sidRPr="007B7BB9">
              <w:rPr>
                <w:rFonts w:ascii="Verdana" w:hAnsi="Verdana"/>
                <w:color w:val="333333"/>
                <w:sz w:val="17"/>
                <w:szCs w:val="17"/>
                <w:shd w:val="clear" w:color="auto" w:fill="FFFFFF"/>
              </w:rPr>
              <w:t>Properties which are occupied by a charity and used for public benefit or for charitable purposes generally do not have to pay rates.</w:t>
            </w:r>
          </w:p>
          <w:p w:rsidR="00CF704B" w:rsidRPr="007B7BB9"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sidRPr="007B7BB9">
              <w:rPr>
                <w:rFonts w:ascii="Verdana" w:hAnsi="Verdana"/>
                <w:color w:val="333333"/>
                <w:sz w:val="17"/>
                <w:szCs w:val="17"/>
                <w:shd w:val="clear" w:color="auto" w:fill="FFFFFF"/>
              </w:rPr>
              <w:t>Charitable purposes include formally constituted trusts for:</w:t>
            </w:r>
          </w:p>
          <w:p w:rsidR="00CF704B" w:rsidRPr="007B7BB9"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sidRPr="007B7BB9">
              <w:rPr>
                <w:rFonts w:ascii="Verdana" w:hAnsi="Verdana"/>
                <w:color w:val="333333"/>
                <w:sz w:val="17"/>
                <w:szCs w:val="17"/>
                <w:shd w:val="clear" w:color="auto" w:fill="FFFFFF"/>
              </w:rPr>
              <w:t>• the advancement of religion</w:t>
            </w:r>
          </w:p>
          <w:p w:rsidR="00CF704B" w:rsidRPr="007B7BB9"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sidRPr="007B7BB9">
              <w:rPr>
                <w:rFonts w:ascii="Verdana" w:hAnsi="Verdana"/>
                <w:color w:val="333333"/>
                <w:sz w:val="17"/>
                <w:szCs w:val="17"/>
                <w:shd w:val="clear" w:color="auto" w:fill="FFFFFF"/>
              </w:rPr>
              <w:t>• the advancement of education</w:t>
            </w:r>
          </w:p>
          <w:p w:rsidR="00CF704B" w:rsidRPr="007B7BB9"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sidRPr="007B7BB9">
              <w:rPr>
                <w:rFonts w:ascii="Verdana" w:hAnsi="Verdana"/>
                <w:color w:val="333333"/>
                <w:sz w:val="17"/>
                <w:szCs w:val="17"/>
                <w:shd w:val="clear" w:color="auto" w:fill="FFFFFF"/>
              </w:rPr>
              <w:t>• the relief of poverty</w:t>
            </w:r>
          </w:p>
          <w:p w:rsidR="00CF704B"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sidRPr="007B7BB9">
              <w:rPr>
                <w:rFonts w:ascii="Verdana" w:hAnsi="Verdana"/>
                <w:color w:val="333333"/>
                <w:sz w:val="17"/>
                <w:szCs w:val="17"/>
                <w:shd w:val="clear" w:color="auto" w:fill="FFFFFF"/>
              </w:rPr>
              <w:t>• other purposes beneficial to the community</w:t>
            </w:r>
          </w:p>
          <w:p w:rsidR="00CF704B" w:rsidRDefault="00CF704B" w:rsidP="007B7BB9">
            <w:pPr>
              <w:shd w:val="clear" w:color="auto" w:fill="FFFFFF"/>
              <w:spacing w:after="225" w:line="252" w:lineRule="atLeast"/>
              <w:textAlignment w:val="baseline"/>
              <w:rPr>
                <w:rFonts w:ascii="Verdana" w:hAnsi="Verdana"/>
                <w:color w:val="333333"/>
                <w:sz w:val="17"/>
                <w:szCs w:val="17"/>
                <w:shd w:val="clear" w:color="auto" w:fill="FFFFFF"/>
              </w:rPr>
            </w:pPr>
            <w:r>
              <w:rPr>
                <w:rFonts w:ascii="Verdana" w:hAnsi="Verdana"/>
                <w:color w:val="333333"/>
                <w:sz w:val="17"/>
                <w:szCs w:val="17"/>
                <w:shd w:val="clear" w:color="auto" w:fill="FFFFFF"/>
              </w:rPr>
              <w:t>Charities don’t pay tax on most of their income and gains if they are used</w:t>
            </w:r>
            <w:r w:rsidRPr="00416964">
              <w:rPr>
                <w:rFonts w:ascii="Verdana" w:hAnsi="Verdana"/>
                <w:color w:val="333333"/>
                <w:sz w:val="17"/>
                <w:szCs w:val="17"/>
                <w:shd w:val="clear" w:color="auto" w:fill="FFFFFF"/>
              </w:rPr>
              <w:t xml:space="preserve"> for charitable purposes - this is known as ‘charitable expenditure’.</w:t>
            </w:r>
          </w:p>
          <w:p w:rsidR="00CF704B" w:rsidRDefault="00CF704B" w:rsidP="00E12B6C">
            <w:pPr>
              <w:shd w:val="clear" w:color="auto" w:fill="FFFFFF"/>
              <w:spacing w:after="225" w:line="252" w:lineRule="atLeast"/>
              <w:textAlignment w:val="baseline"/>
              <w:rPr>
                <w:rFonts w:ascii="Verdana" w:hAnsi="Verdana"/>
                <w:color w:val="333333"/>
                <w:sz w:val="17"/>
                <w:szCs w:val="17"/>
                <w:shd w:val="clear" w:color="auto" w:fill="FFFFFF"/>
              </w:rPr>
            </w:pPr>
            <w:r w:rsidRPr="00416964">
              <w:rPr>
                <w:rFonts w:ascii="Verdana" w:hAnsi="Verdana"/>
                <w:color w:val="333333"/>
                <w:sz w:val="17"/>
                <w:szCs w:val="17"/>
                <w:shd w:val="clear" w:color="auto" w:fill="FFFFFF"/>
              </w:rPr>
              <w:t>This includes tax:</w:t>
            </w:r>
          </w:p>
          <w:p w:rsidR="00CF704B" w:rsidRDefault="00CF704B" w:rsidP="00E12B6C">
            <w:pPr>
              <w:pStyle w:val="ListParagraph"/>
              <w:numPr>
                <w:ilvl w:val="0"/>
                <w:numId w:val="37"/>
              </w:numPr>
              <w:shd w:val="clear" w:color="auto" w:fill="FFFFFF"/>
              <w:spacing w:after="225" w:line="252" w:lineRule="atLeast"/>
              <w:textAlignment w:val="baseline"/>
              <w:rPr>
                <w:rFonts w:ascii="Verdana" w:hAnsi="Verdana"/>
                <w:color w:val="333333"/>
                <w:sz w:val="17"/>
                <w:szCs w:val="17"/>
                <w:shd w:val="clear" w:color="auto" w:fill="FFFFFF"/>
              </w:rPr>
            </w:pPr>
            <w:r w:rsidRPr="00E12B6C">
              <w:rPr>
                <w:rFonts w:ascii="Verdana" w:hAnsi="Verdana"/>
                <w:color w:val="333333"/>
                <w:sz w:val="17"/>
                <w:szCs w:val="17"/>
                <w:shd w:val="clear" w:color="auto" w:fill="FFFFFF"/>
              </w:rPr>
              <w:t xml:space="preserve">on donations on profits from trading </w:t>
            </w:r>
          </w:p>
          <w:p w:rsidR="00CF704B" w:rsidRDefault="00CF704B" w:rsidP="00E12B6C">
            <w:pPr>
              <w:pStyle w:val="ListParagraph"/>
              <w:numPr>
                <w:ilvl w:val="0"/>
                <w:numId w:val="37"/>
              </w:numPr>
              <w:shd w:val="clear" w:color="auto" w:fill="FFFFFF"/>
              <w:spacing w:after="225" w:line="252" w:lineRule="atLeast"/>
              <w:textAlignment w:val="baseline"/>
              <w:rPr>
                <w:rFonts w:ascii="Verdana" w:hAnsi="Verdana"/>
                <w:color w:val="333333"/>
                <w:sz w:val="17"/>
                <w:szCs w:val="17"/>
                <w:shd w:val="clear" w:color="auto" w:fill="FFFFFF"/>
              </w:rPr>
            </w:pPr>
            <w:r w:rsidRPr="00E12B6C">
              <w:rPr>
                <w:rFonts w:ascii="Verdana" w:hAnsi="Verdana"/>
                <w:color w:val="333333"/>
                <w:sz w:val="17"/>
                <w:szCs w:val="17"/>
                <w:shd w:val="clear" w:color="auto" w:fill="FFFFFF"/>
              </w:rPr>
              <w:lastRenderedPageBreak/>
              <w:t xml:space="preserve">on rental or investment income, e.g. bank interest </w:t>
            </w:r>
          </w:p>
          <w:p w:rsidR="00CF704B" w:rsidRDefault="00CF704B" w:rsidP="00E12B6C">
            <w:pPr>
              <w:pStyle w:val="ListParagraph"/>
              <w:numPr>
                <w:ilvl w:val="0"/>
                <w:numId w:val="37"/>
              </w:numPr>
              <w:shd w:val="clear" w:color="auto" w:fill="FFFFFF"/>
              <w:spacing w:after="225" w:line="252" w:lineRule="atLeast"/>
              <w:textAlignment w:val="baseline"/>
              <w:rPr>
                <w:rFonts w:ascii="Verdana" w:hAnsi="Verdana"/>
                <w:color w:val="333333"/>
                <w:sz w:val="17"/>
                <w:szCs w:val="17"/>
                <w:shd w:val="clear" w:color="auto" w:fill="FFFFFF"/>
              </w:rPr>
            </w:pPr>
            <w:r w:rsidRPr="00E12B6C">
              <w:rPr>
                <w:rFonts w:ascii="Verdana" w:hAnsi="Verdana"/>
                <w:color w:val="333333"/>
                <w:sz w:val="17"/>
                <w:szCs w:val="17"/>
                <w:shd w:val="clear" w:color="auto" w:fill="FFFFFF"/>
              </w:rPr>
              <w:t xml:space="preserve">on profits when you sell or ‘dispose of’ an asset, like property or shares </w:t>
            </w:r>
          </w:p>
          <w:p w:rsidR="00CF704B" w:rsidRPr="00E12B6C" w:rsidRDefault="00CF704B" w:rsidP="00E12B6C">
            <w:pPr>
              <w:pStyle w:val="ListParagraph"/>
              <w:numPr>
                <w:ilvl w:val="0"/>
                <w:numId w:val="37"/>
              </w:numPr>
              <w:shd w:val="clear" w:color="auto" w:fill="FFFFFF"/>
              <w:spacing w:after="225" w:line="252" w:lineRule="atLeast"/>
              <w:textAlignment w:val="baseline"/>
              <w:rPr>
                <w:rFonts w:ascii="Verdana" w:hAnsi="Verdana"/>
                <w:color w:val="333333"/>
                <w:sz w:val="17"/>
                <w:szCs w:val="17"/>
                <w:shd w:val="clear" w:color="auto" w:fill="FFFFFF"/>
              </w:rPr>
            </w:pPr>
            <w:r w:rsidRPr="00E12B6C">
              <w:rPr>
                <w:rFonts w:ascii="Verdana" w:hAnsi="Verdana"/>
                <w:color w:val="333333"/>
                <w:sz w:val="17"/>
                <w:szCs w:val="17"/>
                <w:shd w:val="clear" w:color="auto" w:fill="FFFFFF"/>
              </w:rPr>
              <w:t>when you buy property</w:t>
            </w:r>
            <w:r>
              <w:rPr>
                <w:rStyle w:val="FootnoteReference"/>
                <w:rFonts w:ascii="Verdana" w:hAnsi="Verdana"/>
                <w:color w:val="333333"/>
                <w:sz w:val="17"/>
                <w:szCs w:val="17"/>
                <w:shd w:val="clear" w:color="auto" w:fill="FFFFFF"/>
              </w:rPr>
              <w:footnoteReference w:id="6"/>
            </w:r>
          </w:p>
          <w:p w:rsidR="00CF704B" w:rsidRPr="00D8479F" w:rsidRDefault="00CF704B" w:rsidP="00D8479F">
            <w:pPr>
              <w:shd w:val="clear" w:color="auto" w:fill="FFFFFF"/>
              <w:spacing w:after="225" w:line="252" w:lineRule="atLeast"/>
              <w:textAlignment w:val="baseline"/>
              <w:rPr>
                <w:rFonts w:ascii="Verdana" w:hAnsi="Verdana"/>
                <w:color w:val="333333"/>
                <w:sz w:val="17"/>
                <w:szCs w:val="17"/>
                <w:shd w:val="clear" w:color="auto" w:fill="FFFFFF"/>
              </w:rPr>
            </w:pPr>
            <w:r w:rsidRPr="00416964">
              <w:rPr>
                <w:rFonts w:ascii="Verdana" w:hAnsi="Verdana"/>
                <w:color w:val="333333"/>
                <w:sz w:val="17"/>
                <w:szCs w:val="17"/>
                <w:shd w:val="clear" w:color="auto" w:fill="FFFFFF"/>
              </w:rPr>
              <w:t>Charities pay business rates on non-domestic building</w:t>
            </w:r>
            <w:r>
              <w:rPr>
                <w:rFonts w:ascii="Verdana" w:hAnsi="Verdana"/>
                <w:color w:val="333333"/>
                <w:sz w:val="17"/>
                <w:szCs w:val="17"/>
                <w:shd w:val="clear" w:color="auto" w:fill="FFFFFF"/>
              </w:rPr>
              <w:t>s, but they get an 80% discount</w:t>
            </w:r>
          </w:p>
        </w:tc>
        <w:tc>
          <w:tcPr>
            <w:tcW w:w="867" w:type="dxa"/>
          </w:tcPr>
          <w:p w:rsidR="00CF704B" w:rsidRDefault="00CF704B">
            <w:pPr>
              <w:rPr>
                <w:sz w:val="20"/>
                <w:szCs w:val="20"/>
              </w:rPr>
            </w:pPr>
          </w:p>
        </w:tc>
        <w:tc>
          <w:tcPr>
            <w:tcW w:w="850" w:type="dxa"/>
          </w:tcPr>
          <w:p w:rsidR="00CF704B" w:rsidRPr="002E6D14" w:rsidRDefault="002E6D14" w:rsidP="002E6D14">
            <w:pPr>
              <w:rPr>
                <w:sz w:val="20"/>
                <w:szCs w:val="20"/>
              </w:rPr>
            </w:pPr>
            <w:r>
              <w:rPr>
                <w:sz w:val="20"/>
                <w:szCs w:val="20"/>
              </w:rPr>
              <w:t>-</w:t>
            </w:r>
            <w:r w:rsidR="002D444B" w:rsidRPr="002E6D14">
              <w:rPr>
                <w:sz w:val="20"/>
                <w:szCs w:val="20"/>
              </w:rPr>
              <w:t>£85m</w:t>
            </w:r>
          </w:p>
        </w:tc>
        <w:tc>
          <w:tcPr>
            <w:tcW w:w="4309" w:type="dxa"/>
          </w:tcPr>
          <w:p w:rsidR="00CF704B" w:rsidRPr="00A107AF" w:rsidRDefault="00CF704B" w:rsidP="007B7BB9">
            <w:pPr>
              <w:rPr>
                <w:sz w:val="20"/>
                <w:szCs w:val="20"/>
              </w:rPr>
            </w:pPr>
            <w:r>
              <w:rPr>
                <w:sz w:val="20"/>
                <w:szCs w:val="20"/>
              </w:rPr>
              <w:t xml:space="preserve">To encourage charities to promote good causes. </w:t>
            </w:r>
          </w:p>
        </w:tc>
        <w:tc>
          <w:tcPr>
            <w:tcW w:w="2698" w:type="dxa"/>
          </w:tcPr>
          <w:p w:rsidR="00CF704B" w:rsidRPr="00A107AF" w:rsidRDefault="00CF704B">
            <w:pPr>
              <w:rPr>
                <w:sz w:val="20"/>
                <w:szCs w:val="20"/>
              </w:rPr>
            </w:pPr>
          </w:p>
        </w:tc>
      </w:tr>
      <w:tr w:rsidR="00085037" w:rsidTr="00CF704B">
        <w:tc>
          <w:tcPr>
            <w:tcW w:w="1438" w:type="dxa"/>
          </w:tcPr>
          <w:p w:rsidR="00CF704B" w:rsidRDefault="00CF704B" w:rsidP="00D8479F">
            <w:pPr>
              <w:rPr>
                <w:sz w:val="20"/>
                <w:szCs w:val="20"/>
              </w:rPr>
            </w:pPr>
            <w:r>
              <w:rPr>
                <w:sz w:val="20"/>
                <w:szCs w:val="20"/>
              </w:rPr>
              <w:lastRenderedPageBreak/>
              <w:t>Sports and Recreation Rate Relief</w:t>
            </w:r>
            <w:r>
              <w:rPr>
                <w:rStyle w:val="FootnoteReference"/>
                <w:sz w:val="20"/>
                <w:szCs w:val="20"/>
              </w:rPr>
              <w:footnoteReference w:id="7"/>
            </w:r>
          </w:p>
        </w:tc>
        <w:tc>
          <w:tcPr>
            <w:tcW w:w="951" w:type="dxa"/>
          </w:tcPr>
          <w:p w:rsidR="00CF704B" w:rsidRDefault="00CF704B">
            <w:pPr>
              <w:rPr>
                <w:sz w:val="20"/>
                <w:szCs w:val="20"/>
              </w:rPr>
            </w:pPr>
            <w:r>
              <w:rPr>
                <w:sz w:val="20"/>
                <w:szCs w:val="20"/>
              </w:rPr>
              <w:t>DFP</w:t>
            </w:r>
          </w:p>
        </w:tc>
        <w:tc>
          <w:tcPr>
            <w:tcW w:w="2835" w:type="dxa"/>
            <w:gridSpan w:val="2"/>
          </w:tcPr>
          <w:p w:rsidR="00CF704B" w:rsidRPr="0095078C" w:rsidRDefault="00CF704B" w:rsidP="0095078C">
            <w:pPr>
              <w:shd w:val="clear" w:color="auto" w:fill="FFFFFF"/>
              <w:spacing w:after="225" w:line="252" w:lineRule="atLeast"/>
              <w:textAlignment w:val="baseline"/>
              <w:rPr>
                <w:rFonts w:ascii="Verdana" w:hAnsi="Verdana"/>
                <w:color w:val="333333"/>
                <w:sz w:val="17"/>
                <w:szCs w:val="17"/>
                <w:shd w:val="clear" w:color="auto" w:fill="FFFFFF"/>
              </w:rPr>
            </w:pPr>
            <w:r w:rsidRPr="0095078C">
              <w:rPr>
                <w:rFonts w:ascii="Verdana" w:hAnsi="Verdana"/>
                <w:color w:val="333333"/>
                <w:sz w:val="17"/>
                <w:szCs w:val="17"/>
                <w:shd w:val="clear" w:color="auto" w:fill="FFFFFF"/>
              </w:rPr>
              <w:t xml:space="preserve">Relief is provided at a reduction of the normal rate by 80 per cent due on qualifying facilities, which means that part of the property which is </w:t>
            </w:r>
            <w:r>
              <w:rPr>
                <w:rFonts w:ascii="Verdana" w:hAnsi="Verdana"/>
                <w:color w:val="333333"/>
                <w:sz w:val="17"/>
                <w:szCs w:val="17"/>
                <w:shd w:val="clear" w:color="auto" w:fill="FFFFFF"/>
              </w:rPr>
              <w:t xml:space="preserve">used solely for the recreation - </w:t>
            </w:r>
            <w:r w:rsidRPr="0095078C">
              <w:rPr>
                <w:rFonts w:ascii="Verdana" w:hAnsi="Verdana"/>
                <w:color w:val="333333"/>
                <w:sz w:val="17"/>
                <w:szCs w:val="17"/>
                <w:shd w:val="clear" w:color="auto" w:fill="FFFFFF"/>
              </w:rPr>
              <w:t>Bars are excluded from the relief.</w:t>
            </w:r>
          </w:p>
          <w:p w:rsidR="00CF704B" w:rsidRDefault="00CF704B" w:rsidP="00D8479F">
            <w:pPr>
              <w:shd w:val="clear" w:color="auto" w:fill="FFFFFF"/>
              <w:spacing w:after="225" w:line="252" w:lineRule="atLeast"/>
              <w:textAlignment w:val="baseline"/>
              <w:rPr>
                <w:rFonts w:ascii="Verdana" w:hAnsi="Verdana"/>
                <w:color w:val="333333"/>
                <w:sz w:val="17"/>
                <w:szCs w:val="17"/>
                <w:shd w:val="clear" w:color="auto" w:fill="FFFFFF"/>
              </w:rPr>
            </w:pPr>
          </w:p>
        </w:tc>
        <w:tc>
          <w:tcPr>
            <w:tcW w:w="867" w:type="dxa"/>
          </w:tcPr>
          <w:p w:rsidR="00CF704B" w:rsidRDefault="00CF704B">
            <w:pPr>
              <w:rPr>
                <w:sz w:val="20"/>
                <w:szCs w:val="20"/>
              </w:rPr>
            </w:pPr>
          </w:p>
        </w:tc>
        <w:tc>
          <w:tcPr>
            <w:tcW w:w="850" w:type="dxa"/>
          </w:tcPr>
          <w:p w:rsidR="00CF704B" w:rsidRPr="00416964" w:rsidRDefault="002E6D14" w:rsidP="00416964">
            <w:pPr>
              <w:rPr>
                <w:sz w:val="20"/>
                <w:szCs w:val="20"/>
              </w:rPr>
            </w:pPr>
            <w:r>
              <w:rPr>
                <w:sz w:val="20"/>
                <w:szCs w:val="20"/>
              </w:rPr>
              <w:t>-</w:t>
            </w:r>
            <w:r w:rsidR="002D444B" w:rsidRPr="002D444B">
              <w:rPr>
                <w:sz w:val="20"/>
                <w:szCs w:val="20"/>
              </w:rPr>
              <w:t>£4m</w:t>
            </w:r>
          </w:p>
        </w:tc>
        <w:tc>
          <w:tcPr>
            <w:tcW w:w="4309" w:type="dxa"/>
          </w:tcPr>
          <w:p w:rsidR="00CF704B" w:rsidRPr="00A107AF" w:rsidRDefault="00CF704B" w:rsidP="00416964">
            <w:pPr>
              <w:rPr>
                <w:sz w:val="20"/>
                <w:szCs w:val="20"/>
              </w:rPr>
            </w:pPr>
            <w:r w:rsidRPr="00416964">
              <w:rPr>
                <w:sz w:val="20"/>
                <w:szCs w:val="20"/>
              </w:rPr>
              <w:t>The relief is granted on the ba</w:t>
            </w:r>
            <w:r>
              <w:rPr>
                <w:sz w:val="20"/>
                <w:szCs w:val="20"/>
              </w:rPr>
              <w:t xml:space="preserve">sis that it encourages physical </w:t>
            </w:r>
            <w:r w:rsidRPr="00416964">
              <w:rPr>
                <w:sz w:val="20"/>
                <w:szCs w:val="20"/>
              </w:rPr>
              <w:t>recreation at an amateur level and makes a significant contribution to h</w:t>
            </w:r>
            <w:r>
              <w:rPr>
                <w:sz w:val="20"/>
                <w:szCs w:val="20"/>
              </w:rPr>
              <w:t xml:space="preserve">ealth </w:t>
            </w:r>
            <w:r w:rsidRPr="00416964">
              <w:rPr>
                <w:sz w:val="20"/>
                <w:szCs w:val="20"/>
              </w:rPr>
              <w:t>care.</w:t>
            </w:r>
          </w:p>
        </w:tc>
        <w:tc>
          <w:tcPr>
            <w:tcW w:w="2698" w:type="dxa"/>
          </w:tcPr>
          <w:p w:rsidR="00CF704B" w:rsidRPr="00A107AF" w:rsidRDefault="00CF704B">
            <w:pPr>
              <w:rPr>
                <w:sz w:val="20"/>
                <w:szCs w:val="20"/>
              </w:rPr>
            </w:pPr>
          </w:p>
        </w:tc>
      </w:tr>
      <w:tr w:rsidR="00085037" w:rsidTr="00CF704B">
        <w:tc>
          <w:tcPr>
            <w:tcW w:w="1438" w:type="dxa"/>
          </w:tcPr>
          <w:p w:rsidR="00CF704B" w:rsidRDefault="00CF704B" w:rsidP="00D8479F">
            <w:pPr>
              <w:rPr>
                <w:sz w:val="20"/>
                <w:szCs w:val="20"/>
              </w:rPr>
            </w:pPr>
            <w:r>
              <w:rPr>
                <w:sz w:val="20"/>
                <w:szCs w:val="20"/>
              </w:rPr>
              <w:t>Industrial De-Rating</w:t>
            </w:r>
            <w:r>
              <w:rPr>
                <w:rStyle w:val="FootnoteReference"/>
                <w:sz w:val="20"/>
                <w:szCs w:val="20"/>
              </w:rPr>
              <w:footnoteReference w:id="8"/>
            </w:r>
          </w:p>
        </w:tc>
        <w:tc>
          <w:tcPr>
            <w:tcW w:w="951" w:type="dxa"/>
          </w:tcPr>
          <w:p w:rsidR="00CF704B" w:rsidRDefault="00CF704B">
            <w:pPr>
              <w:rPr>
                <w:sz w:val="20"/>
                <w:szCs w:val="20"/>
              </w:rPr>
            </w:pPr>
            <w:r>
              <w:rPr>
                <w:sz w:val="20"/>
                <w:szCs w:val="20"/>
              </w:rPr>
              <w:t>DFP</w:t>
            </w:r>
          </w:p>
        </w:tc>
        <w:tc>
          <w:tcPr>
            <w:tcW w:w="2835" w:type="dxa"/>
            <w:gridSpan w:val="2"/>
          </w:tcPr>
          <w:p w:rsidR="00CF704B" w:rsidRDefault="00CF704B" w:rsidP="0095078C">
            <w:pPr>
              <w:shd w:val="clear" w:color="auto" w:fill="FFFFFF"/>
              <w:spacing w:after="225" w:line="252" w:lineRule="atLeast"/>
              <w:textAlignment w:val="baseline"/>
              <w:rPr>
                <w:rFonts w:ascii="Verdana" w:hAnsi="Verdana"/>
                <w:color w:val="333333"/>
                <w:sz w:val="17"/>
                <w:szCs w:val="17"/>
                <w:shd w:val="clear" w:color="auto" w:fill="FFFFFF"/>
              </w:rPr>
            </w:pPr>
            <w:r>
              <w:rPr>
                <w:rFonts w:ascii="Verdana" w:hAnsi="Verdana"/>
                <w:color w:val="333333"/>
                <w:sz w:val="17"/>
                <w:szCs w:val="17"/>
                <w:shd w:val="clear" w:color="auto" w:fill="FFFFFF"/>
              </w:rPr>
              <w:t xml:space="preserve">Manufacturing businesses occupying qualifying industrial properties can qualify to pay 30 per cent of the normal occupied rates. Premises where manufacturing takes place </w:t>
            </w:r>
            <w:r>
              <w:rPr>
                <w:rFonts w:ascii="Verdana" w:hAnsi="Verdana"/>
                <w:color w:val="333333"/>
                <w:sz w:val="17"/>
                <w:szCs w:val="17"/>
                <w:shd w:val="clear" w:color="auto" w:fill="FFFFFF"/>
              </w:rPr>
              <w:lastRenderedPageBreak/>
              <w:t>and which are used mainly for retail purposes do not qualify.</w:t>
            </w:r>
          </w:p>
          <w:p w:rsidR="00CF704B" w:rsidRPr="0095078C" w:rsidRDefault="00CF704B" w:rsidP="0095078C">
            <w:pPr>
              <w:shd w:val="clear" w:color="auto" w:fill="FFFFFF"/>
              <w:spacing w:after="225" w:line="252" w:lineRule="atLeast"/>
              <w:textAlignment w:val="baseline"/>
              <w:rPr>
                <w:rFonts w:ascii="Verdana" w:hAnsi="Verdana"/>
                <w:color w:val="333333"/>
                <w:sz w:val="17"/>
                <w:szCs w:val="17"/>
                <w:shd w:val="clear" w:color="auto" w:fill="FFFFFF"/>
              </w:rPr>
            </w:pPr>
          </w:p>
        </w:tc>
        <w:tc>
          <w:tcPr>
            <w:tcW w:w="867" w:type="dxa"/>
          </w:tcPr>
          <w:p w:rsidR="00CF704B" w:rsidRDefault="00CF704B">
            <w:pPr>
              <w:rPr>
                <w:sz w:val="20"/>
                <w:szCs w:val="20"/>
              </w:rPr>
            </w:pPr>
          </w:p>
        </w:tc>
        <w:tc>
          <w:tcPr>
            <w:tcW w:w="850" w:type="dxa"/>
          </w:tcPr>
          <w:p w:rsidR="00CF704B" w:rsidRDefault="002E6D14" w:rsidP="00F6053D">
            <w:pPr>
              <w:rPr>
                <w:sz w:val="20"/>
                <w:szCs w:val="20"/>
              </w:rPr>
            </w:pPr>
            <w:r>
              <w:rPr>
                <w:sz w:val="20"/>
                <w:szCs w:val="20"/>
              </w:rPr>
              <w:t>-</w:t>
            </w:r>
            <w:r w:rsidR="002D444B" w:rsidRPr="002D444B">
              <w:rPr>
                <w:sz w:val="20"/>
                <w:szCs w:val="20"/>
              </w:rPr>
              <w:t>£57m</w:t>
            </w:r>
          </w:p>
        </w:tc>
        <w:tc>
          <w:tcPr>
            <w:tcW w:w="4309" w:type="dxa"/>
          </w:tcPr>
          <w:p w:rsidR="00CF704B" w:rsidRPr="00A107AF" w:rsidRDefault="00CF704B" w:rsidP="00F6053D">
            <w:pPr>
              <w:rPr>
                <w:sz w:val="20"/>
                <w:szCs w:val="20"/>
              </w:rPr>
            </w:pPr>
            <w:r>
              <w:rPr>
                <w:sz w:val="20"/>
                <w:szCs w:val="20"/>
              </w:rPr>
              <w:t xml:space="preserve">When the policy was first introduced in 1929 there were two main objectives. </w:t>
            </w:r>
            <w:r w:rsidRPr="00374883">
              <w:rPr>
                <w:sz w:val="20"/>
                <w:szCs w:val="20"/>
              </w:rPr>
              <w:t xml:space="preserve">The first objective was to improve international competitiveness in the face of growing competition in markets for manufactured goods from foreign countries; and, secondly, to alleviate, what was judged to be, the </w:t>
            </w:r>
            <w:r w:rsidRPr="00374883">
              <w:rPr>
                <w:sz w:val="20"/>
                <w:szCs w:val="20"/>
              </w:rPr>
              <w:lastRenderedPageBreak/>
              <w:t>disproportionate impact of rating on industrial premises compared to other sectors.</w:t>
            </w:r>
          </w:p>
        </w:tc>
        <w:tc>
          <w:tcPr>
            <w:tcW w:w="2698" w:type="dxa"/>
          </w:tcPr>
          <w:p w:rsidR="00CF704B" w:rsidRDefault="00CF704B" w:rsidP="00F6053D">
            <w:pPr>
              <w:rPr>
                <w:sz w:val="20"/>
                <w:szCs w:val="20"/>
              </w:rPr>
            </w:pPr>
            <w:r>
              <w:rPr>
                <w:sz w:val="20"/>
                <w:szCs w:val="20"/>
              </w:rPr>
              <w:lastRenderedPageBreak/>
              <w:t xml:space="preserve">Phasing out industrial </w:t>
            </w:r>
            <w:proofErr w:type="spellStart"/>
            <w:r>
              <w:rPr>
                <w:sz w:val="20"/>
                <w:szCs w:val="20"/>
              </w:rPr>
              <w:t>derating</w:t>
            </w:r>
            <w:proofErr w:type="spellEnd"/>
            <w:r>
              <w:rPr>
                <w:sz w:val="20"/>
                <w:szCs w:val="20"/>
              </w:rPr>
              <w:t xml:space="preserve"> </w:t>
            </w:r>
            <w:r w:rsidRPr="00F6053D">
              <w:rPr>
                <w:sz w:val="20"/>
                <w:szCs w:val="20"/>
              </w:rPr>
              <w:t>creates an a</w:t>
            </w:r>
            <w:r>
              <w:rPr>
                <w:sz w:val="20"/>
                <w:szCs w:val="20"/>
              </w:rPr>
              <w:t xml:space="preserve">dditional cost burden for those </w:t>
            </w:r>
            <w:r w:rsidRPr="00F6053D">
              <w:rPr>
                <w:sz w:val="20"/>
                <w:szCs w:val="20"/>
              </w:rPr>
              <w:t>companies who are brought into the rates net havi</w:t>
            </w:r>
            <w:r>
              <w:rPr>
                <w:sz w:val="20"/>
                <w:szCs w:val="20"/>
              </w:rPr>
              <w:t xml:space="preserve">ng previously been free of this </w:t>
            </w:r>
            <w:r w:rsidRPr="00F6053D">
              <w:rPr>
                <w:sz w:val="20"/>
                <w:szCs w:val="20"/>
              </w:rPr>
              <w:t>form of taxation.</w:t>
            </w:r>
          </w:p>
          <w:p w:rsidR="00CF704B" w:rsidRPr="00A107AF" w:rsidRDefault="00CF704B" w:rsidP="00F6053D">
            <w:pPr>
              <w:rPr>
                <w:sz w:val="20"/>
                <w:szCs w:val="20"/>
              </w:rPr>
            </w:pPr>
            <w:r>
              <w:rPr>
                <w:sz w:val="20"/>
                <w:szCs w:val="20"/>
              </w:rPr>
              <w:lastRenderedPageBreak/>
              <w:t xml:space="preserve">Job losses or output </w:t>
            </w:r>
            <w:r w:rsidRPr="00F6053D">
              <w:rPr>
                <w:sz w:val="20"/>
                <w:szCs w:val="20"/>
              </w:rPr>
              <w:t xml:space="preserve">reductions forecast as a consequence of the policy of </w:t>
            </w:r>
            <w:r>
              <w:rPr>
                <w:sz w:val="20"/>
                <w:szCs w:val="20"/>
              </w:rPr>
              <w:t xml:space="preserve">ending industrial </w:t>
            </w:r>
            <w:proofErr w:type="spellStart"/>
            <w:r>
              <w:rPr>
                <w:sz w:val="20"/>
                <w:szCs w:val="20"/>
              </w:rPr>
              <w:t>derating</w:t>
            </w:r>
            <w:proofErr w:type="spellEnd"/>
            <w:r>
              <w:rPr>
                <w:sz w:val="20"/>
                <w:szCs w:val="20"/>
              </w:rPr>
              <w:t xml:space="preserve"> have </w:t>
            </w:r>
            <w:r w:rsidRPr="00F6053D">
              <w:rPr>
                <w:sz w:val="20"/>
                <w:szCs w:val="20"/>
              </w:rPr>
              <w:t>to be interpreted as meaning that employment or o</w:t>
            </w:r>
            <w:r>
              <w:rPr>
                <w:sz w:val="20"/>
                <w:szCs w:val="20"/>
              </w:rPr>
              <w:t xml:space="preserve">utput will be some figure lower </w:t>
            </w:r>
            <w:r w:rsidRPr="00F6053D">
              <w:rPr>
                <w:sz w:val="20"/>
                <w:szCs w:val="20"/>
              </w:rPr>
              <w:t>than it otherwise would be if the policy wa</w:t>
            </w:r>
            <w:r>
              <w:rPr>
                <w:sz w:val="20"/>
                <w:szCs w:val="20"/>
              </w:rPr>
              <w:t xml:space="preserve">s not pursued. They must not be </w:t>
            </w:r>
            <w:r w:rsidRPr="00F6053D">
              <w:rPr>
                <w:sz w:val="20"/>
                <w:szCs w:val="20"/>
              </w:rPr>
              <w:t>interpreted as absolute reductions from output or employment level currently existing</w:t>
            </w:r>
            <w:r>
              <w:rPr>
                <w:sz w:val="20"/>
                <w:szCs w:val="20"/>
              </w:rPr>
              <w:t xml:space="preserve">. </w:t>
            </w:r>
            <w:r>
              <w:rPr>
                <w:rStyle w:val="FootnoteReference"/>
                <w:sz w:val="20"/>
                <w:szCs w:val="20"/>
              </w:rPr>
              <w:footnoteReference w:id="9"/>
            </w:r>
          </w:p>
        </w:tc>
      </w:tr>
      <w:tr w:rsidR="00085037" w:rsidTr="00CF704B">
        <w:tc>
          <w:tcPr>
            <w:tcW w:w="1438" w:type="dxa"/>
          </w:tcPr>
          <w:p w:rsidR="00CF704B" w:rsidRDefault="00CF704B" w:rsidP="00D8479F">
            <w:pPr>
              <w:rPr>
                <w:sz w:val="20"/>
                <w:szCs w:val="20"/>
              </w:rPr>
            </w:pPr>
            <w:r>
              <w:rPr>
                <w:sz w:val="20"/>
                <w:szCs w:val="20"/>
              </w:rPr>
              <w:lastRenderedPageBreak/>
              <w:t>Freight &amp; Transport Relief</w:t>
            </w:r>
          </w:p>
        </w:tc>
        <w:tc>
          <w:tcPr>
            <w:tcW w:w="951" w:type="dxa"/>
          </w:tcPr>
          <w:p w:rsidR="00CF704B" w:rsidRDefault="00CF704B">
            <w:pPr>
              <w:rPr>
                <w:sz w:val="20"/>
                <w:szCs w:val="20"/>
              </w:rPr>
            </w:pPr>
            <w:r>
              <w:rPr>
                <w:sz w:val="20"/>
                <w:szCs w:val="20"/>
              </w:rPr>
              <w:t>DFP</w:t>
            </w:r>
          </w:p>
        </w:tc>
        <w:tc>
          <w:tcPr>
            <w:tcW w:w="2835" w:type="dxa"/>
            <w:gridSpan w:val="2"/>
          </w:tcPr>
          <w:p w:rsidR="00CF704B" w:rsidRPr="0095078C" w:rsidRDefault="00CF704B" w:rsidP="0095078C">
            <w:pPr>
              <w:shd w:val="clear" w:color="auto" w:fill="FFFFFF"/>
              <w:spacing w:after="225" w:line="252" w:lineRule="atLeast"/>
              <w:textAlignment w:val="baseline"/>
              <w:rPr>
                <w:rFonts w:ascii="Verdana" w:hAnsi="Verdana"/>
                <w:color w:val="333333"/>
                <w:sz w:val="17"/>
                <w:szCs w:val="17"/>
                <w:shd w:val="clear" w:color="auto" w:fill="FFFFFF"/>
              </w:rPr>
            </w:pPr>
            <w:r w:rsidRPr="00875034">
              <w:rPr>
                <w:rFonts w:ascii="Verdana" w:hAnsi="Verdana"/>
                <w:color w:val="333333"/>
                <w:sz w:val="17"/>
                <w:szCs w:val="17"/>
                <w:shd w:val="clear" w:color="auto" w:fill="FFFFFF"/>
              </w:rPr>
              <w:t>Occupiers of freight transport properties are entitled to 75% rate relief. It was introduced throughout the UK in 1929 but was removed in GB in 1963. </w:t>
            </w:r>
          </w:p>
        </w:tc>
        <w:tc>
          <w:tcPr>
            <w:tcW w:w="867" w:type="dxa"/>
          </w:tcPr>
          <w:p w:rsidR="00CF704B" w:rsidRDefault="00CF704B">
            <w:pPr>
              <w:rPr>
                <w:sz w:val="20"/>
                <w:szCs w:val="20"/>
              </w:rPr>
            </w:pPr>
          </w:p>
        </w:tc>
        <w:tc>
          <w:tcPr>
            <w:tcW w:w="850" w:type="dxa"/>
          </w:tcPr>
          <w:p w:rsidR="00CF704B" w:rsidRPr="001F2207" w:rsidRDefault="001F2207" w:rsidP="001F2207">
            <w:pPr>
              <w:rPr>
                <w:sz w:val="20"/>
                <w:szCs w:val="20"/>
              </w:rPr>
            </w:pPr>
            <w:r>
              <w:rPr>
                <w:sz w:val="20"/>
                <w:szCs w:val="20"/>
              </w:rPr>
              <w:t>-</w:t>
            </w:r>
            <w:r w:rsidR="002D444B" w:rsidRPr="001F2207">
              <w:rPr>
                <w:sz w:val="20"/>
                <w:szCs w:val="20"/>
              </w:rPr>
              <w:t>£4m</w:t>
            </w:r>
          </w:p>
        </w:tc>
        <w:tc>
          <w:tcPr>
            <w:tcW w:w="4309" w:type="dxa"/>
          </w:tcPr>
          <w:p w:rsidR="00CF704B" w:rsidRPr="00A107AF" w:rsidRDefault="00CF704B" w:rsidP="00CD6132">
            <w:pPr>
              <w:rPr>
                <w:sz w:val="20"/>
                <w:szCs w:val="20"/>
              </w:rPr>
            </w:pPr>
            <w:r>
              <w:rPr>
                <w:sz w:val="20"/>
                <w:szCs w:val="20"/>
              </w:rPr>
              <w:t xml:space="preserve">Introduced on the basis that it meets a </w:t>
            </w:r>
            <w:r w:rsidRPr="00CD6132">
              <w:rPr>
                <w:sz w:val="20"/>
                <w:szCs w:val="20"/>
              </w:rPr>
              <w:t xml:space="preserve">public service need and therefore provides </w:t>
            </w:r>
            <w:r>
              <w:rPr>
                <w:sz w:val="20"/>
                <w:szCs w:val="20"/>
              </w:rPr>
              <w:t>an incentive to attract private funds</w:t>
            </w:r>
            <w:r w:rsidRPr="00CD6132">
              <w:rPr>
                <w:sz w:val="20"/>
                <w:szCs w:val="20"/>
              </w:rPr>
              <w:t>.</w:t>
            </w:r>
          </w:p>
        </w:tc>
        <w:tc>
          <w:tcPr>
            <w:tcW w:w="2698" w:type="dxa"/>
          </w:tcPr>
          <w:p w:rsidR="00CF704B" w:rsidRPr="00BA031B" w:rsidRDefault="00CF704B" w:rsidP="00BA031B">
            <w:pPr>
              <w:shd w:val="clear" w:color="auto" w:fill="FFFFFF"/>
              <w:spacing w:after="225" w:line="252" w:lineRule="atLeast"/>
              <w:textAlignment w:val="baseline"/>
              <w:rPr>
                <w:rFonts w:ascii="Verdana" w:hAnsi="Verdana"/>
                <w:color w:val="333333"/>
                <w:sz w:val="17"/>
                <w:szCs w:val="17"/>
                <w:shd w:val="clear" w:color="auto" w:fill="FFFFFF"/>
              </w:rPr>
            </w:pPr>
            <w:r w:rsidRPr="00BA031B">
              <w:rPr>
                <w:rFonts w:ascii="Verdana" w:hAnsi="Verdana"/>
                <w:color w:val="333333"/>
                <w:sz w:val="17"/>
                <w:szCs w:val="17"/>
                <w:shd w:val="clear" w:color="auto" w:fill="FFFFFF"/>
              </w:rPr>
              <w:t>It is unlikely that maintaining or removing this rate relief for Freight Transport would have a significant impact on small businesses. As all Freight Transport properties can avail of this rate relief, there is no differential treatment of firms within this sector and so no firm would be at a competitive advantage or disadvantage over other firms.</w:t>
            </w:r>
            <w:r>
              <w:rPr>
                <w:rStyle w:val="FootnoteReference"/>
                <w:rFonts w:ascii="Verdana" w:hAnsi="Verdana"/>
                <w:color w:val="333333"/>
                <w:sz w:val="17"/>
                <w:szCs w:val="17"/>
                <w:shd w:val="clear" w:color="auto" w:fill="FFFFFF"/>
              </w:rPr>
              <w:footnoteReference w:id="10"/>
            </w:r>
          </w:p>
        </w:tc>
      </w:tr>
      <w:tr w:rsidR="00085037" w:rsidTr="00CF704B">
        <w:tc>
          <w:tcPr>
            <w:tcW w:w="1438" w:type="dxa"/>
          </w:tcPr>
          <w:p w:rsidR="00CF704B" w:rsidRDefault="00CF704B" w:rsidP="00D8479F">
            <w:pPr>
              <w:rPr>
                <w:sz w:val="20"/>
                <w:szCs w:val="20"/>
              </w:rPr>
            </w:pPr>
            <w:r>
              <w:rPr>
                <w:sz w:val="20"/>
                <w:szCs w:val="20"/>
              </w:rPr>
              <w:t>Residential Homes Rate Relief</w:t>
            </w:r>
            <w:r>
              <w:rPr>
                <w:rStyle w:val="FootnoteReference"/>
                <w:sz w:val="20"/>
                <w:szCs w:val="20"/>
              </w:rPr>
              <w:footnoteReference w:id="11"/>
            </w:r>
          </w:p>
        </w:tc>
        <w:tc>
          <w:tcPr>
            <w:tcW w:w="951" w:type="dxa"/>
          </w:tcPr>
          <w:p w:rsidR="00CF704B" w:rsidRDefault="00CF704B">
            <w:pPr>
              <w:rPr>
                <w:sz w:val="20"/>
                <w:szCs w:val="20"/>
              </w:rPr>
            </w:pPr>
          </w:p>
        </w:tc>
        <w:tc>
          <w:tcPr>
            <w:tcW w:w="2835" w:type="dxa"/>
            <w:gridSpan w:val="2"/>
          </w:tcPr>
          <w:p w:rsidR="00CF704B" w:rsidRPr="008B67EA" w:rsidRDefault="00CF704B" w:rsidP="008B67EA">
            <w:pPr>
              <w:pStyle w:val="NormalWeb"/>
              <w:shd w:val="clear" w:color="auto" w:fill="FFFFFF"/>
              <w:spacing w:before="0" w:beforeAutospacing="0" w:after="225" w:afterAutospacing="0" w:line="252" w:lineRule="atLeast"/>
              <w:textAlignment w:val="baseline"/>
              <w:rPr>
                <w:rFonts w:ascii="Verdana" w:hAnsi="Verdana"/>
                <w:color w:val="333333"/>
                <w:sz w:val="17"/>
                <w:szCs w:val="17"/>
              </w:rPr>
            </w:pPr>
            <w:r w:rsidRPr="008B67EA">
              <w:rPr>
                <w:rFonts w:ascii="Verdana" w:hAnsi="Verdana"/>
                <w:color w:val="333333"/>
                <w:sz w:val="17"/>
                <w:szCs w:val="17"/>
              </w:rPr>
              <w:t xml:space="preserve">100% rates reductions are available to properties used wholly or mainly for one or </w:t>
            </w:r>
            <w:r w:rsidRPr="008B67EA">
              <w:rPr>
                <w:rFonts w:ascii="Verdana" w:hAnsi="Verdana"/>
                <w:color w:val="333333"/>
                <w:sz w:val="17"/>
                <w:szCs w:val="17"/>
              </w:rPr>
              <w:lastRenderedPageBreak/>
              <w:t>more of the following purposes:</w:t>
            </w:r>
          </w:p>
          <w:p w:rsidR="00CF704B" w:rsidRDefault="00CF704B" w:rsidP="008B67EA">
            <w:pPr>
              <w:pStyle w:val="ListParagraph"/>
              <w:numPr>
                <w:ilvl w:val="0"/>
                <w:numId w:val="19"/>
              </w:numPr>
              <w:shd w:val="clear" w:color="auto" w:fill="FFFFFF"/>
              <w:spacing w:line="252" w:lineRule="atLeast"/>
              <w:textAlignment w:val="baseline"/>
              <w:rPr>
                <w:rFonts w:ascii="Verdana" w:eastAsia="Times New Roman" w:hAnsi="Verdana" w:cs="Times New Roman"/>
                <w:color w:val="333333"/>
                <w:sz w:val="17"/>
                <w:szCs w:val="17"/>
                <w:lang w:eastAsia="en-GB"/>
              </w:rPr>
            </w:pPr>
            <w:r w:rsidRPr="008B67EA">
              <w:rPr>
                <w:rFonts w:ascii="Verdana" w:eastAsia="Times New Roman" w:hAnsi="Verdana" w:cs="Times New Roman"/>
                <w:color w:val="333333"/>
                <w:sz w:val="17"/>
                <w:szCs w:val="17"/>
                <w:lang w:eastAsia="en-GB"/>
              </w:rPr>
              <w:t>the provision of residential accommodation for the care of persons who have an illness or the after-care of persons who have an illness</w:t>
            </w:r>
          </w:p>
          <w:p w:rsidR="00CF704B" w:rsidRDefault="00CF704B" w:rsidP="008B67EA">
            <w:pPr>
              <w:pStyle w:val="ListParagraph"/>
              <w:numPr>
                <w:ilvl w:val="0"/>
                <w:numId w:val="19"/>
              </w:numPr>
              <w:shd w:val="clear" w:color="auto" w:fill="FFFFFF"/>
              <w:spacing w:line="252" w:lineRule="atLeast"/>
              <w:textAlignment w:val="baseline"/>
              <w:rPr>
                <w:rFonts w:ascii="Verdana" w:eastAsia="Times New Roman" w:hAnsi="Verdana" w:cs="Times New Roman"/>
                <w:color w:val="333333"/>
                <w:sz w:val="17"/>
                <w:szCs w:val="17"/>
                <w:lang w:eastAsia="en-GB"/>
              </w:rPr>
            </w:pPr>
            <w:r w:rsidRPr="008B67EA">
              <w:rPr>
                <w:rFonts w:ascii="Verdana" w:eastAsia="Times New Roman" w:hAnsi="Verdana" w:cs="Times New Roman"/>
                <w:color w:val="333333"/>
                <w:sz w:val="17"/>
                <w:szCs w:val="17"/>
                <w:lang w:eastAsia="en-GB"/>
              </w:rPr>
              <w:t>the provision of facilities for training or keeping suitably occupied persons who have an illness or persons who have an illness</w:t>
            </w:r>
          </w:p>
          <w:p w:rsidR="00CF704B" w:rsidRDefault="00CF704B" w:rsidP="008B67EA">
            <w:pPr>
              <w:pStyle w:val="ListParagraph"/>
              <w:numPr>
                <w:ilvl w:val="0"/>
                <w:numId w:val="19"/>
              </w:numPr>
              <w:shd w:val="clear" w:color="auto" w:fill="FFFFFF"/>
              <w:spacing w:line="252" w:lineRule="atLeast"/>
              <w:textAlignment w:val="baseline"/>
              <w:rPr>
                <w:rFonts w:ascii="Verdana" w:eastAsia="Times New Roman" w:hAnsi="Verdana" w:cs="Times New Roman"/>
                <w:color w:val="333333"/>
                <w:sz w:val="17"/>
                <w:szCs w:val="17"/>
                <w:lang w:eastAsia="en-GB"/>
              </w:rPr>
            </w:pPr>
            <w:r w:rsidRPr="008B67EA">
              <w:rPr>
                <w:rFonts w:ascii="Verdana" w:eastAsia="Times New Roman" w:hAnsi="Verdana" w:cs="Times New Roman"/>
                <w:color w:val="333333"/>
                <w:sz w:val="17"/>
                <w:szCs w:val="17"/>
                <w:lang w:eastAsia="en-GB"/>
              </w:rPr>
              <w:t>the provision of such accommodation of facilities as are mentioned in the previous two points for disabled persons not falling within that sub-paragraph</w:t>
            </w:r>
          </w:p>
          <w:p w:rsidR="00CF704B" w:rsidRDefault="00CF704B" w:rsidP="008B67EA">
            <w:pPr>
              <w:pStyle w:val="ListParagraph"/>
              <w:numPr>
                <w:ilvl w:val="0"/>
                <w:numId w:val="19"/>
              </w:numPr>
              <w:shd w:val="clear" w:color="auto" w:fill="FFFFFF"/>
              <w:spacing w:line="252" w:lineRule="atLeast"/>
              <w:textAlignment w:val="baseline"/>
              <w:rPr>
                <w:rFonts w:ascii="Verdana" w:eastAsia="Times New Roman" w:hAnsi="Verdana" w:cs="Times New Roman"/>
                <w:color w:val="333333"/>
                <w:sz w:val="17"/>
                <w:szCs w:val="17"/>
                <w:lang w:eastAsia="en-GB"/>
              </w:rPr>
            </w:pPr>
            <w:r w:rsidRPr="008B67EA">
              <w:rPr>
                <w:rFonts w:ascii="Verdana" w:eastAsia="Times New Roman" w:hAnsi="Verdana" w:cs="Times New Roman"/>
                <w:color w:val="333333"/>
                <w:sz w:val="17"/>
                <w:szCs w:val="17"/>
                <w:lang w:eastAsia="en-GB"/>
              </w:rPr>
              <w:t>the provision of personal social services for disabled persons</w:t>
            </w:r>
          </w:p>
          <w:p w:rsidR="00CF704B" w:rsidRPr="008B67EA" w:rsidRDefault="00CF704B" w:rsidP="008B67EA">
            <w:pPr>
              <w:pStyle w:val="ListParagraph"/>
              <w:numPr>
                <w:ilvl w:val="0"/>
                <w:numId w:val="19"/>
              </w:numPr>
              <w:shd w:val="clear" w:color="auto" w:fill="FFFFFF"/>
              <w:spacing w:line="252" w:lineRule="atLeast"/>
              <w:textAlignment w:val="baseline"/>
              <w:rPr>
                <w:rFonts w:ascii="Verdana" w:eastAsia="Times New Roman" w:hAnsi="Verdana" w:cs="Times New Roman"/>
                <w:color w:val="333333"/>
                <w:sz w:val="17"/>
                <w:szCs w:val="17"/>
                <w:lang w:eastAsia="en-GB"/>
              </w:rPr>
            </w:pPr>
            <w:r w:rsidRPr="008B67EA">
              <w:rPr>
                <w:rFonts w:ascii="Verdana" w:eastAsia="Times New Roman" w:hAnsi="Verdana" w:cs="Times New Roman"/>
                <w:color w:val="333333"/>
                <w:sz w:val="17"/>
                <w:szCs w:val="17"/>
                <w:lang w:eastAsia="en-GB"/>
              </w:rPr>
              <w:t>the provision of facilities under section 15 of the Disabled Persons (Employment) Act (Northern Ireland) 1945</w:t>
            </w:r>
          </w:p>
          <w:p w:rsidR="00CF704B" w:rsidRPr="008B67EA" w:rsidRDefault="00CF704B" w:rsidP="008B67EA">
            <w:pPr>
              <w:shd w:val="clear" w:color="auto" w:fill="FFFFFF"/>
              <w:spacing w:after="225" w:line="252" w:lineRule="atLeast"/>
              <w:textAlignment w:val="baseline"/>
              <w:rPr>
                <w:rFonts w:ascii="Verdana" w:eastAsia="Times New Roman" w:hAnsi="Verdana" w:cs="Times New Roman"/>
                <w:color w:val="333333"/>
                <w:sz w:val="17"/>
                <w:szCs w:val="17"/>
                <w:lang w:eastAsia="en-GB"/>
              </w:rPr>
            </w:pPr>
          </w:p>
        </w:tc>
        <w:tc>
          <w:tcPr>
            <w:tcW w:w="867" w:type="dxa"/>
          </w:tcPr>
          <w:p w:rsidR="00CF704B" w:rsidRDefault="00CF704B">
            <w:pPr>
              <w:rPr>
                <w:sz w:val="20"/>
                <w:szCs w:val="20"/>
              </w:rPr>
            </w:pPr>
          </w:p>
        </w:tc>
        <w:tc>
          <w:tcPr>
            <w:tcW w:w="850" w:type="dxa"/>
          </w:tcPr>
          <w:p w:rsidR="00CF704B" w:rsidRPr="00A107AF" w:rsidRDefault="00B13C87">
            <w:pPr>
              <w:rPr>
                <w:sz w:val="20"/>
                <w:szCs w:val="20"/>
              </w:rPr>
            </w:pPr>
            <w:r>
              <w:rPr>
                <w:sz w:val="20"/>
                <w:szCs w:val="20"/>
              </w:rPr>
              <w:t>Unknown</w:t>
            </w:r>
          </w:p>
        </w:tc>
        <w:tc>
          <w:tcPr>
            <w:tcW w:w="4309" w:type="dxa"/>
          </w:tcPr>
          <w:p w:rsidR="00CF704B" w:rsidRPr="00A107AF" w:rsidRDefault="00CF704B">
            <w:pPr>
              <w:rPr>
                <w:sz w:val="20"/>
                <w:szCs w:val="20"/>
              </w:rPr>
            </w:pPr>
          </w:p>
        </w:tc>
        <w:tc>
          <w:tcPr>
            <w:tcW w:w="2698" w:type="dxa"/>
          </w:tcPr>
          <w:p w:rsidR="00CF704B" w:rsidRPr="00A107AF" w:rsidRDefault="00CF704B">
            <w:pPr>
              <w:rPr>
                <w:sz w:val="20"/>
                <w:szCs w:val="20"/>
              </w:rPr>
            </w:pPr>
          </w:p>
        </w:tc>
      </w:tr>
      <w:tr w:rsidR="00085037" w:rsidTr="00CF704B">
        <w:tc>
          <w:tcPr>
            <w:tcW w:w="1438" w:type="dxa"/>
          </w:tcPr>
          <w:p w:rsidR="00CF704B" w:rsidRPr="00D8479F" w:rsidRDefault="00CF704B" w:rsidP="00CD204F">
            <w:pPr>
              <w:rPr>
                <w:sz w:val="20"/>
                <w:szCs w:val="20"/>
              </w:rPr>
            </w:pPr>
            <w:r w:rsidRPr="00D8479F">
              <w:rPr>
                <w:sz w:val="20"/>
                <w:szCs w:val="20"/>
              </w:rPr>
              <w:lastRenderedPageBreak/>
              <w:t>Hardship Relief</w:t>
            </w:r>
            <w:r>
              <w:rPr>
                <w:rStyle w:val="FootnoteReference"/>
                <w:sz w:val="20"/>
                <w:szCs w:val="20"/>
              </w:rPr>
              <w:footnoteReference w:id="12"/>
            </w:r>
          </w:p>
          <w:p w:rsidR="00CF704B" w:rsidRDefault="00CF704B" w:rsidP="00CD204F">
            <w:pPr>
              <w:rPr>
                <w:sz w:val="20"/>
                <w:szCs w:val="20"/>
              </w:rPr>
            </w:pPr>
          </w:p>
        </w:tc>
        <w:tc>
          <w:tcPr>
            <w:tcW w:w="951" w:type="dxa"/>
          </w:tcPr>
          <w:p w:rsidR="00CF704B" w:rsidRDefault="00CF704B" w:rsidP="00CD204F">
            <w:pPr>
              <w:rPr>
                <w:sz w:val="20"/>
                <w:szCs w:val="20"/>
              </w:rPr>
            </w:pPr>
            <w:r>
              <w:rPr>
                <w:sz w:val="20"/>
                <w:szCs w:val="20"/>
              </w:rPr>
              <w:t>DFP</w:t>
            </w:r>
          </w:p>
        </w:tc>
        <w:tc>
          <w:tcPr>
            <w:tcW w:w="2835" w:type="dxa"/>
            <w:gridSpan w:val="2"/>
          </w:tcPr>
          <w:p w:rsidR="00CF704B" w:rsidRPr="00D8479F" w:rsidRDefault="00CF704B" w:rsidP="00CD204F">
            <w:pPr>
              <w:shd w:val="clear" w:color="auto" w:fill="FFFFFF"/>
              <w:spacing w:after="225" w:line="252" w:lineRule="atLeast"/>
              <w:textAlignment w:val="baseline"/>
              <w:rPr>
                <w:rFonts w:ascii="Verdana" w:eastAsia="Times New Roman" w:hAnsi="Verdana" w:cs="Times New Roman"/>
                <w:color w:val="333333"/>
                <w:sz w:val="17"/>
                <w:szCs w:val="17"/>
                <w:lang w:eastAsia="en-GB"/>
              </w:rPr>
            </w:pPr>
            <w:r w:rsidRPr="00D8479F">
              <w:rPr>
                <w:rFonts w:ascii="Verdana" w:eastAsia="Times New Roman" w:hAnsi="Verdana" w:cs="Times New Roman"/>
                <w:color w:val="333333"/>
                <w:sz w:val="17"/>
                <w:szCs w:val="17"/>
                <w:lang w:eastAsia="en-GB"/>
              </w:rPr>
              <w:t>As the Hardship Relief scheme covers unforeseen events, it is not possible for Land &amp; Property Services (LPS) to offer precise definitions. However, a 'crisis' would have to result in a serious loss of trade or have a major effect on the services that can be provided.</w:t>
            </w:r>
          </w:p>
          <w:p w:rsidR="00CF704B" w:rsidRDefault="00CF704B" w:rsidP="00CD204F">
            <w:pPr>
              <w:shd w:val="clear" w:color="auto" w:fill="FFFFFF"/>
              <w:spacing w:after="225" w:line="252" w:lineRule="atLeast"/>
              <w:textAlignment w:val="baseline"/>
              <w:rPr>
                <w:rFonts w:ascii="Verdana" w:eastAsia="Times New Roman" w:hAnsi="Verdana" w:cs="Times New Roman"/>
                <w:color w:val="333333"/>
                <w:sz w:val="17"/>
                <w:szCs w:val="17"/>
                <w:lang w:eastAsia="en-GB"/>
              </w:rPr>
            </w:pPr>
            <w:r w:rsidRPr="00D8479F">
              <w:rPr>
                <w:rFonts w:ascii="Verdana" w:eastAsia="Times New Roman" w:hAnsi="Verdana" w:cs="Times New Roman"/>
                <w:color w:val="333333"/>
                <w:sz w:val="17"/>
                <w:szCs w:val="17"/>
                <w:lang w:eastAsia="en-GB"/>
              </w:rPr>
              <w:t>'Exceptional circumstances' will usually be circumstances that came from outside the business or organisation, are beyond the normal risks faced by businesses and cannot be foreseen or avoided. The effect of strikes within a business or organisation, increased running costs and increased competition would not be considered as 'exceptional circumstances' as they are normal business risks.</w:t>
            </w:r>
          </w:p>
          <w:p w:rsidR="00CF704B" w:rsidRPr="00D8479F" w:rsidRDefault="00CF704B" w:rsidP="00CD204F">
            <w:pPr>
              <w:shd w:val="clear" w:color="auto" w:fill="FFFFFF"/>
              <w:spacing w:after="225" w:line="252" w:lineRule="atLeast"/>
              <w:textAlignment w:val="baseline"/>
              <w:rPr>
                <w:rFonts w:ascii="Verdana" w:eastAsia="Times New Roman" w:hAnsi="Verdana" w:cs="Times New Roman"/>
                <w:color w:val="333333"/>
                <w:sz w:val="17"/>
                <w:szCs w:val="17"/>
                <w:lang w:eastAsia="en-GB"/>
              </w:rPr>
            </w:pPr>
            <w:r w:rsidRPr="00D8479F">
              <w:rPr>
                <w:rFonts w:ascii="Verdana" w:eastAsia="Times New Roman" w:hAnsi="Verdana" w:cs="Times New Roman"/>
                <w:color w:val="333333"/>
                <w:sz w:val="17"/>
                <w:szCs w:val="17"/>
                <w:lang w:eastAsia="en-GB"/>
              </w:rPr>
              <w:t xml:space="preserve">The maximum amount of hardship relief you can get is the rates for one financial year. However, the amount may be reduced if you have </w:t>
            </w:r>
            <w:r w:rsidRPr="00D8479F">
              <w:rPr>
                <w:rFonts w:ascii="Verdana" w:eastAsia="Times New Roman" w:hAnsi="Verdana" w:cs="Times New Roman"/>
                <w:color w:val="333333"/>
                <w:sz w:val="17"/>
                <w:szCs w:val="17"/>
                <w:lang w:eastAsia="en-GB"/>
              </w:rPr>
              <w:lastRenderedPageBreak/>
              <w:t xml:space="preserve">received any De </w:t>
            </w:r>
            <w:proofErr w:type="spellStart"/>
            <w:r w:rsidRPr="00D8479F">
              <w:rPr>
                <w:rFonts w:ascii="Verdana" w:eastAsia="Times New Roman" w:hAnsi="Verdana" w:cs="Times New Roman"/>
                <w:color w:val="333333"/>
                <w:sz w:val="17"/>
                <w:szCs w:val="17"/>
                <w:lang w:eastAsia="en-GB"/>
              </w:rPr>
              <w:t>Minimis</w:t>
            </w:r>
            <w:proofErr w:type="spellEnd"/>
            <w:r w:rsidRPr="00D8479F">
              <w:rPr>
                <w:rFonts w:ascii="Verdana" w:eastAsia="Times New Roman" w:hAnsi="Verdana" w:cs="Times New Roman"/>
                <w:color w:val="333333"/>
                <w:sz w:val="17"/>
                <w:szCs w:val="17"/>
                <w:lang w:eastAsia="en-GB"/>
              </w:rPr>
              <w:t xml:space="preserve"> state aid over the past 3 years.</w:t>
            </w:r>
            <w:r>
              <w:rPr>
                <w:rStyle w:val="FootnoteReference"/>
                <w:rFonts w:ascii="Verdana" w:eastAsia="Times New Roman" w:hAnsi="Verdana" w:cs="Times New Roman"/>
                <w:color w:val="333333"/>
                <w:sz w:val="17"/>
                <w:szCs w:val="17"/>
                <w:lang w:eastAsia="en-GB"/>
              </w:rPr>
              <w:footnoteReference w:id="13"/>
            </w:r>
          </w:p>
          <w:p w:rsidR="00CF704B" w:rsidRPr="00D8479F" w:rsidRDefault="00CF704B" w:rsidP="00CD204F">
            <w:pPr>
              <w:rPr>
                <w:rFonts w:ascii="Verdana" w:eastAsia="Times New Roman" w:hAnsi="Verdana" w:cs="Times New Roman"/>
                <w:color w:val="333333"/>
                <w:sz w:val="17"/>
                <w:szCs w:val="17"/>
                <w:lang w:eastAsia="en-GB"/>
              </w:rPr>
            </w:pPr>
          </w:p>
        </w:tc>
        <w:tc>
          <w:tcPr>
            <w:tcW w:w="867" w:type="dxa"/>
          </w:tcPr>
          <w:p w:rsidR="00CF704B" w:rsidRDefault="00CF704B" w:rsidP="00CD204F">
            <w:pPr>
              <w:rPr>
                <w:sz w:val="20"/>
                <w:szCs w:val="20"/>
              </w:rPr>
            </w:pPr>
          </w:p>
        </w:tc>
        <w:tc>
          <w:tcPr>
            <w:tcW w:w="850" w:type="dxa"/>
          </w:tcPr>
          <w:p w:rsidR="00CF704B" w:rsidRPr="00175058" w:rsidRDefault="00B13C87" w:rsidP="00175058">
            <w:pPr>
              <w:rPr>
                <w:sz w:val="20"/>
                <w:szCs w:val="20"/>
              </w:rPr>
            </w:pPr>
            <w:r>
              <w:rPr>
                <w:sz w:val="20"/>
                <w:szCs w:val="20"/>
              </w:rPr>
              <w:t>Unknown</w:t>
            </w:r>
          </w:p>
        </w:tc>
        <w:tc>
          <w:tcPr>
            <w:tcW w:w="4309" w:type="dxa"/>
          </w:tcPr>
          <w:p w:rsidR="00CF704B" w:rsidRPr="00A107AF" w:rsidRDefault="00CF704B" w:rsidP="00175058">
            <w:pPr>
              <w:rPr>
                <w:sz w:val="20"/>
                <w:szCs w:val="20"/>
              </w:rPr>
            </w:pPr>
            <w:r w:rsidRPr="00175058">
              <w:rPr>
                <w:sz w:val="20"/>
                <w:szCs w:val="20"/>
              </w:rPr>
              <w:t>Hardship relief is intended to assist a business</w:t>
            </w:r>
            <w:r>
              <w:rPr>
                <w:sz w:val="20"/>
                <w:szCs w:val="20"/>
              </w:rPr>
              <w:t xml:space="preserve"> recover from temporary crisis, </w:t>
            </w:r>
            <w:r w:rsidRPr="00175058">
              <w:rPr>
                <w:sz w:val="20"/>
                <w:szCs w:val="20"/>
              </w:rPr>
              <w:t>financial or otherwise. It is for the decision-maker to dec</w:t>
            </w:r>
            <w:r>
              <w:rPr>
                <w:sz w:val="20"/>
                <w:szCs w:val="20"/>
              </w:rPr>
              <w:t xml:space="preserve">ide, based on the </w:t>
            </w:r>
            <w:r w:rsidRPr="00175058">
              <w:rPr>
                <w:sz w:val="20"/>
                <w:szCs w:val="20"/>
              </w:rPr>
              <w:t>available evidence, whether or not a business wou</w:t>
            </w:r>
            <w:r>
              <w:rPr>
                <w:sz w:val="20"/>
                <w:szCs w:val="20"/>
              </w:rPr>
              <w:t>ld suffer hardship if relief is not provided.</w:t>
            </w:r>
            <w:r>
              <w:rPr>
                <w:rStyle w:val="FootnoteReference"/>
                <w:sz w:val="20"/>
                <w:szCs w:val="20"/>
              </w:rPr>
              <w:footnoteReference w:id="14"/>
            </w:r>
            <w:r>
              <w:rPr>
                <w:sz w:val="20"/>
                <w:szCs w:val="20"/>
              </w:rPr>
              <w:t xml:space="preserve"> </w:t>
            </w:r>
          </w:p>
        </w:tc>
        <w:tc>
          <w:tcPr>
            <w:tcW w:w="2698" w:type="dxa"/>
          </w:tcPr>
          <w:p w:rsidR="00CF704B" w:rsidRPr="00A107AF" w:rsidRDefault="00CF704B" w:rsidP="00CD204F">
            <w:pPr>
              <w:rPr>
                <w:sz w:val="20"/>
                <w:szCs w:val="20"/>
              </w:rPr>
            </w:pPr>
          </w:p>
        </w:tc>
      </w:tr>
      <w:tr w:rsidR="00085037" w:rsidTr="00CF704B">
        <w:tc>
          <w:tcPr>
            <w:tcW w:w="1438" w:type="dxa"/>
          </w:tcPr>
          <w:p w:rsidR="00CF704B" w:rsidRDefault="00CF704B" w:rsidP="00D8479F">
            <w:pPr>
              <w:rPr>
                <w:sz w:val="20"/>
                <w:szCs w:val="20"/>
              </w:rPr>
            </w:pPr>
            <w:r>
              <w:rPr>
                <w:sz w:val="20"/>
                <w:szCs w:val="20"/>
              </w:rPr>
              <w:lastRenderedPageBreak/>
              <w:t>Agricultural Land Exemptions</w:t>
            </w:r>
          </w:p>
        </w:tc>
        <w:tc>
          <w:tcPr>
            <w:tcW w:w="951" w:type="dxa"/>
          </w:tcPr>
          <w:p w:rsidR="00CF704B" w:rsidRDefault="00CF704B">
            <w:pPr>
              <w:rPr>
                <w:sz w:val="20"/>
                <w:szCs w:val="20"/>
              </w:rPr>
            </w:pPr>
          </w:p>
        </w:tc>
        <w:tc>
          <w:tcPr>
            <w:tcW w:w="2835" w:type="dxa"/>
            <w:gridSpan w:val="2"/>
          </w:tcPr>
          <w:p w:rsidR="00CF704B" w:rsidRPr="0095078C" w:rsidRDefault="00CF704B" w:rsidP="0095078C">
            <w:pPr>
              <w:shd w:val="clear" w:color="auto" w:fill="FFFFFF"/>
              <w:spacing w:after="225" w:line="252" w:lineRule="atLeast"/>
              <w:textAlignment w:val="baseline"/>
              <w:rPr>
                <w:rFonts w:ascii="Verdana" w:hAnsi="Verdana"/>
                <w:color w:val="333333"/>
                <w:sz w:val="17"/>
                <w:szCs w:val="17"/>
                <w:shd w:val="clear" w:color="auto" w:fill="FFFFFF"/>
              </w:rPr>
            </w:pPr>
            <w:r w:rsidRPr="007B2417">
              <w:rPr>
                <w:rFonts w:ascii="Verdana" w:hAnsi="Verdana"/>
                <w:color w:val="333333"/>
                <w:sz w:val="17"/>
                <w:szCs w:val="17"/>
                <w:shd w:val="clear" w:color="auto" w:fill="FFFFFF"/>
              </w:rPr>
              <w:t>70% of land in Northern Ireland is agricultural. Agricultural land has been exempt from rating since 1929</w:t>
            </w:r>
            <w:r>
              <w:rPr>
                <w:rFonts w:ascii="Verdana" w:hAnsi="Verdana"/>
                <w:color w:val="333333"/>
                <w:sz w:val="17"/>
                <w:szCs w:val="17"/>
                <w:shd w:val="clear" w:color="auto" w:fill="FFFFFF"/>
              </w:rPr>
              <w:t>.</w:t>
            </w:r>
            <w:r>
              <w:rPr>
                <w:rStyle w:val="FootnoteReference"/>
                <w:rFonts w:ascii="Verdana" w:hAnsi="Verdana"/>
                <w:color w:val="333333"/>
                <w:sz w:val="17"/>
                <w:szCs w:val="17"/>
                <w:shd w:val="clear" w:color="auto" w:fill="FFFFFF"/>
              </w:rPr>
              <w:footnoteReference w:id="15"/>
            </w:r>
            <w:r>
              <w:rPr>
                <w:rFonts w:ascii="Verdana" w:hAnsi="Verdana"/>
                <w:color w:val="333333"/>
                <w:sz w:val="17"/>
                <w:szCs w:val="17"/>
                <w:shd w:val="clear" w:color="auto" w:fill="FFFFFF"/>
              </w:rPr>
              <w:t xml:space="preserve"> </w:t>
            </w:r>
          </w:p>
        </w:tc>
        <w:tc>
          <w:tcPr>
            <w:tcW w:w="867" w:type="dxa"/>
          </w:tcPr>
          <w:p w:rsidR="00CF704B" w:rsidRDefault="00CF704B">
            <w:pPr>
              <w:rPr>
                <w:sz w:val="20"/>
                <w:szCs w:val="20"/>
              </w:rPr>
            </w:pPr>
          </w:p>
        </w:tc>
        <w:tc>
          <w:tcPr>
            <w:tcW w:w="850" w:type="dxa"/>
          </w:tcPr>
          <w:p w:rsidR="00CF704B" w:rsidRDefault="00B13C87">
            <w:pPr>
              <w:rPr>
                <w:sz w:val="20"/>
                <w:szCs w:val="20"/>
              </w:rPr>
            </w:pPr>
            <w:r>
              <w:rPr>
                <w:sz w:val="20"/>
                <w:szCs w:val="20"/>
              </w:rPr>
              <w:t>Unknown</w:t>
            </w:r>
          </w:p>
        </w:tc>
        <w:tc>
          <w:tcPr>
            <w:tcW w:w="4309" w:type="dxa"/>
          </w:tcPr>
          <w:p w:rsidR="00CF704B" w:rsidRPr="00A107AF" w:rsidRDefault="00CF704B">
            <w:pPr>
              <w:rPr>
                <w:sz w:val="20"/>
                <w:szCs w:val="20"/>
              </w:rPr>
            </w:pPr>
            <w:r>
              <w:rPr>
                <w:sz w:val="20"/>
                <w:szCs w:val="20"/>
              </w:rPr>
              <w:t xml:space="preserve">Agricultural </w:t>
            </w:r>
            <w:r w:rsidRPr="007B7BB9">
              <w:rPr>
                <w:sz w:val="20"/>
                <w:szCs w:val="20"/>
              </w:rPr>
              <w:t>land is not seen as a financial asset. Only land which has been built o</w:t>
            </w:r>
            <w:r>
              <w:rPr>
                <w:sz w:val="20"/>
                <w:szCs w:val="20"/>
              </w:rPr>
              <w:t xml:space="preserve">n is taxed as a financial asset i.e. residential and commercial property. </w:t>
            </w:r>
          </w:p>
        </w:tc>
        <w:tc>
          <w:tcPr>
            <w:tcW w:w="2698" w:type="dxa"/>
          </w:tcPr>
          <w:p w:rsidR="00CF704B" w:rsidRPr="00A107AF" w:rsidRDefault="00CF704B">
            <w:pPr>
              <w:rPr>
                <w:sz w:val="20"/>
                <w:szCs w:val="20"/>
              </w:rPr>
            </w:pPr>
          </w:p>
        </w:tc>
      </w:tr>
      <w:tr w:rsidR="00085037" w:rsidTr="00CF704B">
        <w:tc>
          <w:tcPr>
            <w:tcW w:w="1438" w:type="dxa"/>
          </w:tcPr>
          <w:p w:rsidR="00CF704B" w:rsidRDefault="00CF704B" w:rsidP="00D8479F">
            <w:pPr>
              <w:rPr>
                <w:sz w:val="20"/>
                <w:szCs w:val="20"/>
              </w:rPr>
            </w:pPr>
            <w:r>
              <w:rPr>
                <w:sz w:val="20"/>
                <w:szCs w:val="20"/>
              </w:rPr>
              <w:t>Development Land Exemptions</w:t>
            </w:r>
          </w:p>
        </w:tc>
        <w:tc>
          <w:tcPr>
            <w:tcW w:w="951" w:type="dxa"/>
          </w:tcPr>
          <w:p w:rsidR="00CF704B" w:rsidRDefault="00CF704B">
            <w:pPr>
              <w:rPr>
                <w:sz w:val="20"/>
                <w:szCs w:val="20"/>
              </w:rPr>
            </w:pPr>
          </w:p>
        </w:tc>
        <w:tc>
          <w:tcPr>
            <w:tcW w:w="2835" w:type="dxa"/>
            <w:gridSpan w:val="2"/>
          </w:tcPr>
          <w:p w:rsidR="00CF704B" w:rsidRPr="0095078C" w:rsidRDefault="00CF704B" w:rsidP="0095078C">
            <w:pPr>
              <w:shd w:val="clear" w:color="auto" w:fill="FFFFFF"/>
              <w:spacing w:after="225" w:line="252" w:lineRule="atLeast"/>
              <w:textAlignment w:val="baseline"/>
              <w:rPr>
                <w:rFonts w:ascii="Verdana" w:hAnsi="Verdana"/>
                <w:color w:val="333333"/>
                <w:sz w:val="17"/>
                <w:szCs w:val="17"/>
                <w:shd w:val="clear" w:color="auto" w:fill="FFFFFF"/>
              </w:rPr>
            </w:pPr>
            <w:r>
              <w:rPr>
                <w:rFonts w:ascii="Verdana" w:hAnsi="Verdana"/>
                <w:color w:val="333333"/>
                <w:sz w:val="17"/>
                <w:szCs w:val="17"/>
                <w:shd w:val="clear" w:color="auto" w:fill="FFFFFF"/>
              </w:rPr>
              <w:t>Derelict land is not subject to rates.</w:t>
            </w:r>
          </w:p>
        </w:tc>
        <w:tc>
          <w:tcPr>
            <w:tcW w:w="867" w:type="dxa"/>
          </w:tcPr>
          <w:p w:rsidR="00CF704B" w:rsidRDefault="00CF704B">
            <w:pPr>
              <w:rPr>
                <w:sz w:val="20"/>
                <w:szCs w:val="20"/>
              </w:rPr>
            </w:pPr>
          </w:p>
        </w:tc>
        <w:tc>
          <w:tcPr>
            <w:tcW w:w="850" w:type="dxa"/>
          </w:tcPr>
          <w:p w:rsidR="00CF704B" w:rsidRPr="007B7BB9" w:rsidRDefault="00B13C87" w:rsidP="007B7BB9">
            <w:pPr>
              <w:rPr>
                <w:sz w:val="20"/>
                <w:szCs w:val="20"/>
              </w:rPr>
            </w:pPr>
            <w:r>
              <w:rPr>
                <w:sz w:val="20"/>
                <w:szCs w:val="20"/>
              </w:rPr>
              <w:t>Unknown</w:t>
            </w:r>
          </w:p>
        </w:tc>
        <w:tc>
          <w:tcPr>
            <w:tcW w:w="4309" w:type="dxa"/>
          </w:tcPr>
          <w:p w:rsidR="00CF704B" w:rsidRPr="00A107AF" w:rsidRDefault="00CF704B" w:rsidP="007B7BB9">
            <w:pPr>
              <w:rPr>
                <w:sz w:val="20"/>
                <w:szCs w:val="20"/>
              </w:rPr>
            </w:pPr>
            <w:r w:rsidRPr="007B7BB9">
              <w:rPr>
                <w:sz w:val="20"/>
                <w:szCs w:val="20"/>
              </w:rPr>
              <w:t>Derelict land is not seen as a financial asset. Only land which has been built o</w:t>
            </w:r>
            <w:r>
              <w:rPr>
                <w:sz w:val="20"/>
                <w:szCs w:val="20"/>
              </w:rPr>
              <w:t xml:space="preserve">n is taxed as a financial asset i.e. residential and commercial property. </w:t>
            </w:r>
          </w:p>
        </w:tc>
        <w:tc>
          <w:tcPr>
            <w:tcW w:w="2698" w:type="dxa"/>
          </w:tcPr>
          <w:p w:rsidR="00CF704B" w:rsidRPr="00A107AF" w:rsidRDefault="00CF704B">
            <w:pPr>
              <w:rPr>
                <w:sz w:val="20"/>
                <w:szCs w:val="20"/>
              </w:rPr>
            </w:pPr>
          </w:p>
        </w:tc>
      </w:tr>
      <w:tr w:rsidR="00085037" w:rsidTr="00CF704B">
        <w:tc>
          <w:tcPr>
            <w:tcW w:w="1438" w:type="dxa"/>
          </w:tcPr>
          <w:p w:rsidR="00CF704B" w:rsidRPr="00942EBA" w:rsidRDefault="00CF704B" w:rsidP="00634473">
            <w:pPr>
              <w:rPr>
                <w:sz w:val="20"/>
                <w:szCs w:val="20"/>
              </w:rPr>
            </w:pPr>
            <w:r>
              <w:rPr>
                <w:sz w:val="20"/>
                <w:szCs w:val="20"/>
              </w:rPr>
              <w:t>Propel Scheme</w:t>
            </w:r>
          </w:p>
        </w:tc>
        <w:tc>
          <w:tcPr>
            <w:tcW w:w="951" w:type="dxa"/>
          </w:tcPr>
          <w:p w:rsidR="00CF704B" w:rsidRPr="00942EBA" w:rsidRDefault="00CF704B" w:rsidP="00634473">
            <w:pPr>
              <w:rPr>
                <w:sz w:val="20"/>
                <w:szCs w:val="20"/>
              </w:rPr>
            </w:pPr>
            <w:r>
              <w:rPr>
                <w:sz w:val="20"/>
                <w:szCs w:val="20"/>
              </w:rPr>
              <w:t>Invest NI</w:t>
            </w:r>
          </w:p>
        </w:tc>
        <w:tc>
          <w:tcPr>
            <w:tcW w:w="2835" w:type="dxa"/>
            <w:gridSpan w:val="2"/>
          </w:tcPr>
          <w:p w:rsidR="00CF704B" w:rsidRPr="004C6755" w:rsidRDefault="00CF704B" w:rsidP="00634473">
            <w:pPr>
              <w:rPr>
                <w:sz w:val="20"/>
                <w:szCs w:val="20"/>
              </w:rPr>
            </w:pPr>
            <w:r w:rsidRPr="004C6755">
              <w:rPr>
                <w:sz w:val="20"/>
                <w:szCs w:val="20"/>
              </w:rPr>
              <w:t>The scheme provides participants with a series of business development workshops, advice from local and international experts, introductions to potential investors, mentoring, shared working space and financial support.</w:t>
            </w:r>
          </w:p>
        </w:tc>
        <w:tc>
          <w:tcPr>
            <w:tcW w:w="867" w:type="dxa"/>
          </w:tcPr>
          <w:p w:rsidR="00CF704B" w:rsidRPr="00942EBA" w:rsidRDefault="00CF704B" w:rsidP="00634473">
            <w:pPr>
              <w:rPr>
                <w:sz w:val="20"/>
                <w:szCs w:val="20"/>
              </w:rPr>
            </w:pPr>
            <w:r>
              <w:rPr>
                <w:sz w:val="20"/>
                <w:szCs w:val="20"/>
              </w:rPr>
              <w:t>£6m</w:t>
            </w:r>
          </w:p>
        </w:tc>
        <w:tc>
          <w:tcPr>
            <w:tcW w:w="850" w:type="dxa"/>
          </w:tcPr>
          <w:p w:rsidR="00CF704B" w:rsidRPr="008D15F3" w:rsidRDefault="00CF704B" w:rsidP="008D15F3">
            <w:pPr>
              <w:rPr>
                <w:sz w:val="20"/>
                <w:szCs w:val="20"/>
              </w:rPr>
            </w:pPr>
          </w:p>
        </w:tc>
        <w:tc>
          <w:tcPr>
            <w:tcW w:w="4309" w:type="dxa"/>
          </w:tcPr>
          <w:p w:rsidR="00CF704B" w:rsidRPr="00942EBA" w:rsidRDefault="00CF704B" w:rsidP="008D15F3">
            <w:pPr>
              <w:rPr>
                <w:sz w:val="20"/>
                <w:szCs w:val="20"/>
              </w:rPr>
            </w:pPr>
            <w:r w:rsidRPr="008D15F3">
              <w:rPr>
                <w:sz w:val="20"/>
                <w:szCs w:val="20"/>
              </w:rPr>
              <w:t>Against a backdrop of economic restru</w:t>
            </w:r>
            <w:r>
              <w:rPr>
                <w:sz w:val="20"/>
                <w:szCs w:val="20"/>
              </w:rPr>
              <w:t xml:space="preserve">cturing and recession, Northern Ireland has consistently </w:t>
            </w:r>
            <w:r w:rsidRPr="008D15F3">
              <w:rPr>
                <w:sz w:val="20"/>
                <w:szCs w:val="20"/>
              </w:rPr>
              <w:t>struggled with weak productivity and low rates of enterp</w:t>
            </w:r>
            <w:r>
              <w:rPr>
                <w:sz w:val="20"/>
                <w:szCs w:val="20"/>
              </w:rPr>
              <w:t xml:space="preserve">rise, compared to other regions of the </w:t>
            </w:r>
            <w:r w:rsidRPr="008D15F3">
              <w:rPr>
                <w:sz w:val="20"/>
                <w:szCs w:val="20"/>
              </w:rPr>
              <w:t>UK. Government is attempting t</w:t>
            </w:r>
            <w:r>
              <w:rPr>
                <w:sz w:val="20"/>
                <w:szCs w:val="20"/>
              </w:rPr>
              <w:t xml:space="preserve">o tackle these problems through growing the private sector, </w:t>
            </w:r>
            <w:r w:rsidRPr="008D15F3">
              <w:rPr>
                <w:sz w:val="20"/>
                <w:szCs w:val="20"/>
              </w:rPr>
              <w:t>particularly t</w:t>
            </w:r>
            <w:r>
              <w:rPr>
                <w:sz w:val="20"/>
                <w:szCs w:val="20"/>
              </w:rPr>
              <w:t xml:space="preserve">hrough boosting business growth </w:t>
            </w:r>
            <w:r w:rsidRPr="008D15F3">
              <w:rPr>
                <w:sz w:val="20"/>
                <w:szCs w:val="20"/>
              </w:rPr>
              <w:t>rate</w:t>
            </w:r>
            <w:r>
              <w:rPr>
                <w:sz w:val="20"/>
                <w:szCs w:val="20"/>
              </w:rPr>
              <w:t xml:space="preserve">s and levels of enterprise, and making </w:t>
            </w:r>
            <w:r w:rsidRPr="008D15F3">
              <w:rPr>
                <w:sz w:val="20"/>
                <w:szCs w:val="20"/>
              </w:rPr>
              <w:t>Northern Ireland businesses more competitive in international mar</w:t>
            </w:r>
            <w:r>
              <w:rPr>
                <w:sz w:val="20"/>
                <w:szCs w:val="20"/>
              </w:rPr>
              <w:t xml:space="preserve">kets. In this context, Propel’s </w:t>
            </w:r>
            <w:r w:rsidRPr="008D15F3">
              <w:rPr>
                <w:sz w:val="20"/>
                <w:szCs w:val="20"/>
              </w:rPr>
              <w:t xml:space="preserve">aim to </w:t>
            </w:r>
            <w:r>
              <w:rPr>
                <w:sz w:val="20"/>
                <w:szCs w:val="20"/>
              </w:rPr>
              <w:t xml:space="preserve">create high growth start-ups is </w:t>
            </w:r>
            <w:r w:rsidRPr="008D15F3">
              <w:rPr>
                <w:sz w:val="20"/>
                <w:szCs w:val="20"/>
              </w:rPr>
              <w:t>relevant and topical.</w:t>
            </w:r>
          </w:p>
        </w:tc>
        <w:tc>
          <w:tcPr>
            <w:tcW w:w="2698" w:type="dxa"/>
          </w:tcPr>
          <w:p w:rsidR="00CF704B" w:rsidRPr="008D15F3" w:rsidRDefault="00CF704B" w:rsidP="008D15F3">
            <w:pPr>
              <w:rPr>
                <w:sz w:val="20"/>
                <w:szCs w:val="20"/>
              </w:rPr>
            </w:pPr>
            <w:r w:rsidRPr="008D15F3">
              <w:rPr>
                <w:sz w:val="20"/>
                <w:szCs w:val="20"/>
              </w:rPr>
              <w:t>Evaluation survey data suggest Propellers have obtained close to £14m of investment,</w:t>
            </w:r>
          </w:p>
          <w:p w:rsidR="00CF704B" w:rsidRPr="008D15F3" w:rsidRDefault="00CF704B" w:rsidP="008D15F3">
            <w:pPr>
              <w:rPr>
                <w:sz w:val="20"/>
                <w:szCs w:val="20"/>
              </w:rPr>
            </w:pPr>
            <w:r w:rsidRPr="008D15F3">
              <w:rPr>
                <w:sz w:val="20"/>
                <w:szCs w:val="20"/>
              </w:rPr>
              <w:t>although a notable proportion of this is from family and friends</w:t>
            </w:r>
          </w:p>
          <w:p w:rsidR="00CF704B" w:rsidRPr="008D15F3" w:rsidRDefault="00CF704B" w:rsidP="008D15F3">
            <w:pPr>
              <w:rPr>
                <w:sz w:val="20"/>
                <w:szCs w:val="20"/>
              </w:rPr>
            </w:pPr>
            <w:r w:rsidRPr="008D15F3">
              <w:rPr>
                <w:sz w:val="20"/>
                <w:szCs w:val="20"/>
              </w:rPr>
              <w:t>Xcell</w:t>
            </w:r>
            <w:r>
              <w:rPr>
                <w:sz w:val="20"/>
                <w:szCs w:val="20"/>
              </w:rPr>
              <w:t xml:space="preserve">   </w:t>
            </w:r>
            <w:r w:rsidRPr="008D15F3">
              <w:rPr>
                <w:sz w:val="20"/>
                <w:szCs w:val="20"/>
              </w:rPr>
              <w:t xml:space="preserve"> survey data reports that 84% of Propellers have raised some form of investment.</w:t>
            </w:r>
          </w:p>
          <w:p w:rsidR="00CF704B" w:rsidRPr="00942EBA" w:rsidRDefault="00CF704B" w:rsidP="006F3A70">
            <w:pPr>
              <w:rPr>
                <w:sz w:val="20"/>
                <w:szCs w:val="20"/>
              </w:rPr>
            </w:pPr>
            <w:r w:rsidRPr="008D15F3">
              <w:rPr>
                <w:sz w:val="20"/>
                <w:szCs w:val="20"/>
              </w:rPr>
              <w:t>In total this investment is worth £7.4m (or over £10m according to revised data).</w:t>
            </w:r>
            <w:r w:rsidRPr="008D15F3">
              <w:rPr>
                <w:sz w:val="20"/>
                <w:szCs w:val="20"/>
              </w:rPr>
              <w:cr/>
            </w:r>
            <w:r w:rsidRPr="006F3A70">
              <w:rPr>
                <w:sz w:val="20"/>
                <w:szCs w:val="20"/>
              </w:rPr>
              <w:t>On Value for Money, the evaluation calculated a marginal return on investment of £1.07:£1</w:t>
            </w:r>
            <w:r>
              <w:rPr>
                <w:sz w:val="20"/>
                <w:szCs w:val="20"/>
              </w:rPr>
              <w:t xml:space="preserve"> </w:t>
            </w:r>
            <w:r w:rsidRPr="006F3A70">
              <w:rPr>
                <w:sz w:val="20"/>
                <w:szCs w:val="20"/>
              </w:rPr>
              <w:t xml:space="preserve">(based on data for both </w:t>
            </w:r>
            <w:r w:rsidRPr="006F3A70">
              <w:rPr>
                <w:sz w:val="20"/>
                <w:szCs w:val="20"/>
              </w:rPr>
              <w:lastRenderedPageBreak/>
              <w:t>Programmes). This figure is close to</w:t>
            </w:r>
            <w:r>
              <w:rPr>
                <w:sz w:val="20"/>
                <w:szCs w:val="20"/>
              </w:rPr>
              <w:t xml:space="preserve"> that identified by the Interim </w:t>
            </w:r>
            <w:r w:rsidRPr="006F3A70">
              <w:rPr>
                <w:sz w:val="20"/>
                <w:szCs w:val="20"/>
              </w:rPr>
              <w:t>Evaluation but is somewhat short of the figure expected in the</w:t>
            </w:r>
            <w:r>
              <w:rPr>
                <w:sz w:val="20"/>
                <w:szCs w:val="20"/>
              </w:rPr>
              <w:t xml:space="preserve"> programme’s economic appraisal </w:t>
            </w:r>
            <w:r w:rsidRPr="006F3A70">
              <w:rPr>
                <w:sz w:val="20"/>
                <w:szCs w:val="20"/>
              </w:rPr>
              <w:t>(£1.37:£1) for Propel 2.</w:t>
            </w:r>
            <w:r>
              <w:rPr>
                <w:rStyle w:val="FootnoteReference"/>
                <w:sz w:val="20"/>
                <w:szCs w:val="20"/>
              </w:rPr>
              <w:footnoteReference w:id="16"/>
            </w:r>
          </w:p>
        </w:tc>
      </w:tr>
      <w:tr w:rsidR="00085037" w:rsidTr="00CF704B">
        <w:tc>
          <w:tcPr>
            <w:tcW w:w="1438" w:type="dxa"/>
          </w:tcPr>
          <w:p w:rsidR="00CF704B" w:rsidRPr="00942EBA" w:rsidRDefault="00CF704B" w:rsidP="00634473">
            <w:pPr>
              <w:rPr>
                <w:sz w:val="20"/>
                <w:szCs w:val="20"/>
              </w:rPr>
            </w:pPr>
            <w:r>
              <w:rPr>
                <w:sz w:val="20"/>
                <w:szCs w:val="20"/>
              </w:rPr>
              <w:lastRenderedPageBreak/>
              <w:t>Innovation Vouchers</w:t>
            </w:r>
          </w:p>
        </w:tc>
        <w:tc>
          <w:tcPr>
            <w:tcW w:w="951" w:type="dxa"/>
          </w:tcPr>
          <w:p w:rsidR="00CF704B" w:rsidRPr="00942EBA" w:rsidRDefault="00CF704B" w:rsidP="00634473">
            <w:pPr>
              <w:rPr>
                <w:sz w:val="20"/>
                <w:szCs w:val="20"/>
              </w:rPr>
            </w:pPr>
            <w:r>
              <w:rPr>
                <w:sz w:val="20"/>
                <w:szCs w:val="20"/>
              </w:rPr>
              <w:t>Invest NI</w:t>
            </w:r>
          </w:p>
        </w:tc>
        <w:tc>
          <w:tcPr>
            <w:tcW w:w="2835" w:type="dxa"/>
            <w:gridSpan w:val="2"/>
          </w:tcPr>
          <w:p w:rsidR="00CF704B" w:rsidRDefault="00CF704B" w:rsidP="00634473">
            <w:pPr>
              <w:rPr>
                <w:sz w:val="20"/>
                <w:szCs w:val="20"/>
              </w:rPr>
            </w:pPr>
            <w:r w:rsidRPr="0055527B">
              <w:rPr>
                <w:sz w:val="20"/>
                <w:szCs w:val="20"/>
              </w:rPr>
              <w:t>The Programme provides SMEs with a voucher, valued at up to a maximum of £4,000, which can be used to purchase practical advice and expertise from Universities and other publicly funded research bodies in Northern Ireland, and the Republic of Ireland.</w:t>
            </w:r>
          </w:p>
          <w:p w:rsidR="00CF704B" w:rsidRPr="00942EBA" w:rsidRDefault="00CF704B" w:rsidP="00634473">
            <w:pPr>
              <w:rPr>
                <w:sz w:val="20"/>
                <w:szCs w:val="20"/>
              </w:rPr>
            </w:pPr>
            <w:r w:rsidRPr="002E0011">
              <w:rPr>
                <w:sz w:val="20"/>
                <w:szCs w:val="20"/>
              </w:rPr>
              <w:t>A business may apply for up to three vouchers for different projects. A 2nd or 3rd voucher can be applied for once the previous project is completed and the voucher has been redeemed. It is only possible to have one ‘live voucher’ at a time.</w:t>
            </w:r>
          </w:p>
        </w:tc>
        <w:tc>
          <w:tcPr>
            <w:tcW w:w="867" w:type="dxa"/>
          </w:tcPr>
          <w:p w:rsidR="00CF704B" w:rsidRPr="00942EBA" w:rsidRDefault="00CF704B" w:rsidP="00634473">
            <w:pPr>
              <w:rPr>
                <w:sz w:val="20"/>
                <w:szCs w:val="20"/>
              </w:rPr>
            </w:pPr>
            <w:r>
              <w:rPr>
                <w:sz w:val="20"/>
                <w:szCs w:val="20"/>
              </w:rPr>
              <w:t>£6.6 (Total 2008-2015)</w:t>
            </w:r>
          </w:p>
        </w:tc>
        <w:tc>
          <w:tcPr>
            <w:tcW w:w="850" w:type="dxa"/>
          </w:tcPr>
          <w:p w:rsidR="00CF704B" w:rsidRDefault="00CF704B" w:rsidP="00634473">
            <w:pPr>
              <w:rPr>
                <w:sz w:val="20"/>
                <w:szCs w:val="20"/>
              </w:rPr>
            </w:pPr>
          </w:p>
        </w:tc>
        <w:tc>
          <w:tcPr>
            <w:tcW w:w="4309" w:type="dxa"/>
          </w:tcPr>
          <w:p w:rsidR="00CF704B" w:rsidRPr="00887F7D" w:rsidRDefault="00CF704B" w:rsidP="00634473">
            <w:pPr>
              <w:rPr>
                <w:sz w:val="20"/>
                <w:szCs w:val="20"/>
              </w:rPr>
            </w:pPr>
            <w:r>
              <w:rPr>
                <w:sz w:val="20"/>
                <w:szCs w:val="20"/>
              </w:rPr>
              <w:t xml:space="preserve">Northern Ireland has faced long-term economic, productivity, and particularly innovation challenges. </w:t>
            </w:r>
          </w:p>
          <w:p w:rsidR="00CF704B" w:rsidRDefault="00CF704B" w:rsidP="00634473">
            <w:pPr>
              <w:rPr>
                <w:sz w:val="20"/>
                <w:szCs w:val="20"/>
              </w:rPr>
            </w:pPr>
            <w:r>
              <w:rPr>
                <w:sz w:val="20"/>
                <w:szCs w:val="20"/>
              </w:rPr>
              <w:t>T</w:t>
            </w:r>
            <w:r w:rsidRPr="00887F7D">
              <w:rPr>
                <w:sz w:val="20"/>
                <w:szCs w:val="20"/>
              </w:rPr>
              <w:t xml:space="preserve">he rationale for Innovation Vouchers is based principally on addressing information and co-ordination failures. </w:t>
            </w:r>
          </w:p>
          <w:p w:rsidR="00CF704B" w:rsidRDefault="00CF704B" w:rsidP="00634473">
            <w:pPr>
              <w:shd w:val="clear" w:color="auto" w:fill="FFFFFF"/>
              <w:spacing w:line="270" w:lineRule="atLeast"/>
              <w:rPr>
                <w:sz w:val="20"/>
                <w:szCs w:val="20"/>
              </w:rPr>
            </w:pPr>
          </w:p>
          <w:p w:rsidR="00CF704B" w:rsidRPr="002E0011" w:rsidRDefault="00CF704B" w:rsidP="00634473">
            <w:pPr>
              <w:shd w:val="clear" w:color="auto" w:fill="FFFFFF"/>
              <w:spacing w:line="270" w:lineRule="atLeast"/>
              <w:rPr>
                <w:sz w:val="20"/>
                <w:szCs w:val="20"/>
              </w:rPr>
            </w:pPr>
            <w:r w:rsidRPr="002E0011">
              <w:rPr>
                <w:sz w:val="20"/>
                <w:szCs w:val="20"/>
              </w:rPr>
              <w:t>Invest North</w:t>
            </w:r>
            <w:r>
              <w:rPr>
                <w:sz w:val="20"/>
                <w:szCs w:val="20"/>
              </w:rPr>
              <w:t xml:space="preserve">ern Ireland </w:t>
            </w:r>
            <w:r w:rsidRPr="002E0011">
              <w:rPr>
                <w:sz w:val="20"/>
                <w:szCs w:val="20"/>
              </w:rPr>
              <w:t>indicates that the key benefits for the small enterprise might include:</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Increased profitability;</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Bet</w:t>
            </w:r>
            <w:r>
              <w:rPr>
                <w:sz w:val="20"/>
                <w:szCs w:val="20"/>
              </w:rPr>
              <w:t>ter informed business decisions;</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Improved processes;</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Business model development;</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Improved service delivery;</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Efficiency savings;</w:t>
            </w:r>
          </w:p>
          <w:p w:rsidR="00CF704B"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Increased market share;</w:t>
            </w:r>
          </w:p>
          <w:p w:rsidR="00CF704B" w:rsidRPr="002E0011" w:rsidRDefault="00CF704B" w:rsidP="00995A8B">
            <w:pPr>
              <w:pStyle w:val="ListParagraph"/>
              <w:numPr>
                <w:ilvl w:val="0"/>
                <w:numId w:val="9"/>
              </w:numPr>
              <w:shd w:val="clear" w:color="auto" w:fill="FFFFFF"/>
              <w:spacing w:after="60" w:line="270" w:lineRule="atLeast"/>
              <w:rPr>
                <w:sz w:val="20"/>
                <w:szCs w:val="20"/>
              </w:rPr>
            </w:pPr>
            <w:r w:rsidRPr="002E0011">
              <w:rPr>
                <w:sz w:val="20"/>
                <w:szCs w:val="20"/>
              </w:rPr>
              <w:t>A fresh source of ideas</w:t>
            </w:r>
          </w:p>
          <w:p w:rsidR="00CF704B" w:rsidRDefault="00CF704B" w:rsidP="00634473">
            <w:pPr>
              <w:rPr>
                <w:sz w:val="20"/>
                <w:szCs w:val="20"/>
              </w:rPr>
            </w:pPr>
          </w:p>
          <w:p w:rsidR="00CF704B" w:rsidRPr="002E0011" w:rsidRDefault="00CF704B" w:rsidP="00634473">
            <w:pPr>
              <w:pStyle w:val="Default"/>
              <w:rPr>
                <w:rFonts w:asciiTheme="minorHAnsi" w:hAnsiTheme="minorHAnsi" w:cstheme="minorBidi"/>
                <w:color w:val="auto"/>
                <w:sz w:val="20"/>
                <w:szCs w:val="20"/>
              </w:rPr>
            </w:pPr>
            <w:r w:rsidRPr="002E0011">
              <w:rPr>
                <w:rFonts w:asciiTheme="minorHAnsi" w:hAnsiTheme="minorHAnsi" w:cstheme="minorBidi"/>
                <w:color w:val="auto"/>
                <w:sz w:val="20"/>
                <w:szCs w:val="20"/>
              </w:rPr>
              <w:t xml:space="preserve"> </w:t>
            </w:r>
          </w:p>
        </w:tc>
        <w:tc>
          <w:tcPr>
            <w:tcW w:w="2698" w:type="dxa"/>
          </w:tcPr>
          <w:p w:rsidR="00CF704B" w:rsidRDefault="00CF704B" w:rsidP="00634473">
            <w:pPr>
              <w:spacing w:after="234"/>
              <w:rPr>
                <w:sz w:val="20"/>
                <w:szCs w:val="20"/>
              </w:rPr>
            </w:pPr>
            <w:r w:rsidRPr="002E0011">
              <w:rPr>
                <w:sz w:val="20"/>
                <w:szCs w:val="20"/>
              </w:rPr>
              <w:t>The net impacts of the Programme, through completed projects and accounting for both achieved and expected future effects, are estimated at</w:t>
            </w:r>
            <w:r>
              <w:rPr>
                <w:sz w:val="20"/>
                <w:szCs w:val="20"/>
              </w:rPr>
              <w:t xml:space="preserve"> 380 net jobs created, and</w:t>
            </w:r>
            <w:r w:rsidRPr="002E0011">
              <w:rPr>
                <w:sz w:val="20"/>
                <w:szCs w:val="20"/>
              </w:rPr>
              <w:t xml:space="preserve"> £8.3 million in net GVA generated. </w:t>
            </w:r>
          </w:p>
          <w:p w:rsidR="00CF704B" w:rsidRDefault="00CF704B" w:rsidP="00634473">
            <w:pPr>
              <w:spacing w:after="234"/>
              <w:rPr>
                <w:sz w:val="20"/>
                <w:szCs w:val="20"/>
              </w:rPr>
            </w:pPr>
            <w:r w:rsidRPr="002E0011">
              <w:rPr>
                <w:sz w:val="20"/>
                <w:szCs w:val="20"/>
              </w:rPr>
              <w:t xml:space="preserve">In terms of Value for Money, the following judgements are made: </w:t>
            </w:r>
          </w:p>
          <w:p w:rsidR="00CF704B" w:rsidRDefault="00CF704B" w:rsidP="00995A8B">
            <w:pPr>
              <w:pStyle w:val="ListParagraph"/>
              <w:numPr>
                <w:ilvl w:val="0"/>
                <w:numId w:val="10"/>
              </w:numPr>
              <w:spacing w:after="234"/>
              <w:rPr>
                <w:sz w:val="20"/>
                <w:szCs w:val="20"/>
              </w:rPr>
            </w:pPr>
            <w:r w:rsidRPr="00040740">
              <w:rPr>
                <w:sz w:val="20"/>
                <w:szCs w:val="20"/>
              </w:rPr>
              <w:t>Economy is judged as sound, with a significant set of activity delivered</w:t>
            </w:r>
            <w:r>
              <w:rPr>
                <w:sz w:val="20"/>
                <w:szCs w:val="20"/>
              </w:rPr>
              <w:t>.</w:t>
            </w:r>
          </w:p>
          <w:p w:rsidR="00CF704B" w:rsidRPr="00040740" w:rsidRDefault="00CF704B" w:rsidP="00995A8B">
            <w:pPr>
              <w:pStyle w:val="ListParagraph"/>
              <w:numPr>
                <w:ilvl w:val="0"/>
                <w:numId w:val="10"/>
              </w:numPr>
              <w:autoSpaceDE w:val="0"/>
              <w:autoSpaceDN w:val="0"/>
              <w:adjustRightInd w:val="0"/>
              <w:rPr>
                <w:rFonts w:ascii="Cambria" w:hAnsi="Cambria" w:cs="Cambria"/>
                <w:color w:val="000000"/>
                <w:sz w:val="24"/>
                <w:szCs w:val="24"/>
              </w:rPr>
            </w:pPr>
            <w:r w:rsidRPr="00040740">
              <w:rPr>
                <w:sz w:val="20"/>
                <w:szCs w:val="20"/>
              </w:rPr>
              <w:t xml:space="preserve">Efficiency is judged to be acceptable, with a cost per net job created </w:t>
            </w:r>
          </w:p>
          <w:p w:rsidR="00CF704B" w:rsidRPr="00040740" w:rsidRDefault="00CF704B" w:rsidP="00634473">
            <w:pPr>
              <w:autoSpaceDE w:val="0"/>
              <w:autoSpaceDN w:val="0"/>
              <w:adjustRightInd w:val="0"/>
              <w:rPr>
                <w:rFonts w:ascii="Cambria" w:hAnsi="Cambria" w:cs="Cambria"/>
                <w:color w:val="000000"/>
                <w:sz w:val="24"/>
                <w:szCs w:val="24"/>
              </w:rPr>
            </w:pPr>
          </w:p>
          <w:p w:rsidR="00CF704B" w:rsidRPr="00942EBA" w:rsidRDefault="00CF704B" w:rsidP="00634473">
            <w:pPr>
              <w:spacing w:after="234"/>
              <w:rPr>
                <w:sz w:val="20"/>
                <w:szCs w:val="20"/>
              </w:rPr>
            </w:pPr>
            <w:r w:rsidRPr="002E0011">
              <w:rPr>
                <w:sz w:val="20"/>
                <w:szCs w:val="20"/>
              </w:rPr>
              <w:t>An assessment of Return on Investment (</w:t>
            </w:r>
            <w:proofErr w:type="spellStart"/>
            <w:r w:rsidRPr="002E0011">
              <w:rPr>
                <w:sz w:val="20"/>
                <w:szCs w:val="20"/>
              </w:rPr>
              <w:t>RoI</w:t>
            </w:r>
            <w:proofErr w:type="spellEnd"/>
            <w:r w:rsidRPr="002E0011">
              <w:rPr>
                <w:sz w:val="20"/>
                <w:szCs w:val="20"/>
              </w:rPr>
              <w:t xml:space="preserve">) yields a ‘positive’ result, with an estimated £1.42 of GVA impact generated for each £1 </w:t>
            </w:r>
            <w:r w:rsidRPr="002E0011">
              <w:rPr>
                <w:sz w:val="20"/>
                <w:szCs w:val="20"/>
              </w:rPr>
              <w:lastRenderedPageBreak/>
              <w:t>of investment by Invest NI (and £1.67 if Invest NI salary costs are excluded). This is in line with the target of £1.39 for the 2012-15 period (that excludes Invest NI staff costs). As such, the Northern Ireland economy has secured more benefit from the Programme’s resul</w:t>
            </w:r>
            <w:r>
              <w:rPr>
                <w:sz w:val="20"/>
                <w:szCs w:val="20"/>
              </w:rPr>
              <w:t>ts than the cost of its inputs.</w:t>
            </w:r>
            <w:r>
              <w:rPr>
                <w:rStyle w:val="FootnoteReference"/>
                <w:sz w:val="20"/>
                <w:szCs w:val="20"/>
              </w:rPr>
              <w:footnoteReference w:id="17"/>
            </w:r>
          </w:p>
        </w:tc>
      </w:tr>
      <w:tr w:rsidR="00085037" w:rsidTr="00CF704B">
        <w:tc>
          <w:tcPr>
            <w:tcW w:w="1438" w:type="dxa"/>
          </w:tcPr>
          <w:p w:rsidR="00CF704B" w:rsidRDefault="00CF704B" w:rsidP="00634473">
            <w:pPr>
              <w:rPr>
                <w:sz w:val="20"/>
                <w:szCs w:val="20"/>
              </w:rPr>
            </w:pPr>
            <w:r>
              <w:rPr>
                <w:sz w:val="20"/>
                <w:szCs w:val="20"/>
              </w:rPr>
              <w:lastRenderedPageBreak/>
              <w:t xml:space="preserve">Entrepreneur’s Relief  </w:t>
            </w:r>
          </w:p>
        </w:tc>
        <w:tc>
          <w:tcPr>
            <w:tcW w:w="951" w:type="dxa"/>
          </w:tcPr>
          <w:p w:rsidR="00CF704B" w:rsidRDefault="00CF704B" w:rsidP="00634473">
            <w:pPr>
              <w:rPr>
                <w:sz w:val="20"/>
                <w:szCs w:val="20"/>
              </w:rPr>
            </w:pPr>
            <w:r>
              <w:rPr>
                <w:sz w:val="20"/>
                <w:szCs w:val="20"/>
              </w:rPr>
              <w:t>HMT</w:t>
            </w:r>
          </w:p>
        </w:tc>
        <w:tc>
          <w:tcPr>
            <w:tcW w:w="2835" w:type="dxa"/>
            <w:gridSpan w:val="2"/>
          </w:tcPr>
          <w:p w:rsidR="00CF704B" w:rsidRDefault="00CF704B" w:rsidP="00634473">
            <w:pPr>
              <w:rPr>
                <w:sz w:val="20"/>
                <w:szCs w:val="20"/>
              </w:rPr>
            </w:pPr>
            <w:r w:rsidRPr="00C851C7">
              <w:rPr>
                <w:sz w:val="20"/>
                <w:szCs w:val="20"/>
              </w:rPr>
              <w:t>This measure was announced at Budget 2012 as part of a package of changes to E</w:t>
            </w:r>
            <w:r>
              <w:rPr>
                <w:sz w:val="20"/>
                <w:szCs w:val="20"/>
              </w:rPr>
              <w:t xml:space="preserve">nterprise </w:t>
            </w:r>
            <w:r w:rsidRPr="00C851C7">
              <w:rPr>
                <w:sz w:val="20"/>
                <w:szCs w:val="20"/>
              </w:rPr>
              <w:t>M</w:t>
            </w:r>
            <w:r>
              <w:rPr>
                <w:sz w:val="20"/>
                <w:szCs w:val="20"/>
              </w:rPr>
              <w:t xml:space="preserve">anagement </w:t>
            </w:r>
            <w:r w:rsidRPr="00C851C7">
              <w:rPr>
                <w:sz w:val="20"/>
                <w:szCs w:val="20"/>
              </w:rPr>
              <w:t>I</w:t>
            </w:r>
            <w:r>
              <w:rPr>
                <w:sz w:val="20"/>
                <w:szCs w:val="20"/>
              </w:rPr>
              <w:t>ncentives</w:t>
            </w:r>
            <w:r w:rsidRPr="00C851C7">
              <w:rPr>
                <w:sz w:val="20"/>
                <w:szCs w:val="20"/>
              </w:rPr>
              <w:t xml:space="preserve">. </w:t>
            </w:r>
          </w:p>
          <w:p w:rsidR="00CF704B" w:rsidRPr="00A107AF" w:rsidRDefault="00CF704B" w:rsidP="00634473">
            <w:pPr>
              <w:rPr>
                <w:sz w:val="20"/>
                <w:szCs w:val="20"/>
              </w:rPr>
            </w:pPr>
            <w:r w:rsidRPr="00C851C7">
              <w:rPr>
                <w:sz w:val="20"/>
                <w:szCs w:val="20"/>
              </w:rPr>
              <w:t xml:space="preserve">The relief allows gains accrued on the disposal of shares in a trading company to be taxed at the reduced rate of 10 per cent provided that the disposal is by an individual who, throughout the year ending on the date the shares are sold, has worked for the company and owned at least 5 per cent of the ordinary shares in the company. The relief also applies to the sale of shares in the holding company of a trading group. Entrepreneurs' relief is subject </w:t>
            </w:r>
            <w:r w:rsidRPr="00C851C7">
              <w:rPr>
                <w:sz w:val="20"/>
                <w:szCs w:val="20"/>
              </w:rPr>
              <w:lastRenderedPageBreak/>
              <w:t>to a lifetime limit on the first £10 million of gains.</w:t>
            </w:r>
          </w:p>
        </w:tc>
        <w:tc>
          <w:tcPr>
            <w:tcW w:w="867" w:type="dxa"/>
          </w:tcPr>
          <w:p w:rsidR="00CF704B" w:rsidRDefault="00CF704B" w:rsidP="00634473">
            <w:pPr>
              <w:rPr>
                <w:sz w:val="20"/>
                <w:szCs w:val="20"/>
              </w:rPr>
            </w:pPr>
          </w:p>
        </w:tc>
        <w:tc>
          <w:tcPr>
            <w:tcW w:w="850" w:type="dxa"/>
          </w:tcPr>
          <w:p w:rsidR="00CF704B" w:rsidRPr="00C851C7" w:rsidRDefault="002D444B" w:rsidP="00634473">
            <w:pPr>
              <w:rPr>
                <w:sz w:val="20"/>
                <w:szCs w:val="20"/>
              </w:rPr>
            </w:pPr>
            <w:r w:rsidRPr="002D444B">
              <w:rPr>
                <w:sz w:val="20"/>
                <w:szCs w:val="20"/>
              </w:rPr>
              <w:t>£2.9bn (UK-wide)</w:t>
            </w:r>
          </w:p>
        </w:tc>
        <w:tc>
          <w:tcPr>
            <w:tcW w:w="4309" w:type="dxa"/>
          </w:tcPr>
          <w:p w:rsidR="00CF704B" w:rsidRPr="00A107AF" w:rsidRDefault="00CF704B" w:rsidP="00634473">
            <w:pPr>
              <w:rPr>
                <w:sz w:val="20"/>
                <w:szCs w:val="20"/>
              </w:rPr>
            </w:pPr>
            <w:r w:rsidRPr="00C851C7">
              <w:rPr>
                <w:sz w:val="20"/>
                <w:szCs w:val="20"/>
              </w:rPr>
              <w:t>The measure aims to help small and medium enterprises (SMEs) recruit and retain high calibre employees by extending the tax advantages available to employees granted share options under the scheme.</w:t>
            </w:r>
            <w:r>
              <w:rPr>
                <w:rStyle w:val="FootnoteReference"/>
                <w:sz w:val="20"/>
                <w:szCs w:val="20"/>
              </w:rPr>
              <w:footnoteReference w:id="18"/>
            </w:r>
          </w:p>
        </w:tc>
        <w:tc>
          <w:tcPr>
            <w:tcW w:w="2698" w:type="dxa"/>
          </w:tcPr>
          <w:p w:rsidR="00CF704B" w:rsidRPr="00A107AF" w:rsidRDefault="00CF704B" w:rsidP="00634473">
            <w:pPr>
              <w:rPr>
                <w:sz w:val="20"/>
                <w:szCs w:val="20"/>
              </w:rPr>
            </w:pPr>
          </w:p>
        </w:tc>
      </w:tr>
      <w:tr w:rsidR="00085037" w:rsidTr="00CF704B">
        <w:tc>
          <w:tcPr>
            <w:tcW w:w="1438" w:type="dxa"/>
          </w:tcPr>
          <w:p w:rsidR="00CF704B" w:rsidRDefault="00CF704B" w:rsidP="00634473">
            <w:pPr>
              <w:rPr>
                <w:sz w:val="20"/>
                <w:szCs w:val="20"/>
              </w:rPr>
            </w:pPr>
            <w:r>
              <w:rPr>
                <w:sz w:val="20"/>
                <w:szCs w:val="20"/>
              </w:rPr>
              <w:lastRenderedPageBreak/>
              <w:t>Gift Hold-Over Relief</w:t>
            </w:r>
          </w:p>
        </w:tc>
        <w:tc>
          <w:tcPr>
            <w:tcW w:w="951" w:type="dxa"/>
          </w:tcPr>
          <w:p w:rsidR="00CF704B" w:rsidRDefault="00CF704B" w:rsidP="00634473">
            <w:pPr>
              <w:rPr>
                <w:sz w:val="20"/>
                <w:szCs w:val="20"/>
              </w:rPr>
            </w:pPr>
            <w:r>
              <w:rPr>
                <w:sz w:val="20"/>
                <w:szCs w:val="20"/>
              </w:rPr>
              <w:t>HMT</w:t>
            </w:r>
          </w:p>
        </w:tc>
        <w:tc>
          <w:tcPr>
            <w:tcW w:w="2835" w:type="dxa"/>
            <w:gridSpan w:val="2"/>
          </w:tcPr>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It is possible to claim Gift Hold-Over Relief if business assets (including certain shares) are given away or sold for less than they are worth to help the buyer.</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To be eligible for Gift Hold-Over Relief you must:</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be a sole trader or business partner, or have at least 5% of shares and voting rights in a company (known as your ‘personal company’)</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use the assets in your business or personal company</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You can usually get partial relief if you used the assets only partly for your business.</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If you’re giving away shares</w:t>
            </w:r>
            <w:r>
              <w:rPr>
                <w:rFonts w:asciiTheme="minorHAnsi" w:eastAsiaTheme="minorHAnsi" w:hAnsiTheme="minorHAnsi" w:cstheme="minorBidi"/>
                <w:sz w:val="20"/>
                <w:szCs w:val="20"/>
                <w:lang w:eastAsia="en-US"/>
              </w:rPr>
              <w:t xml:space="preserve"> t</w:t>
            </w:r>
            <w:r w:rsidRPr="000403FA">
              <w:rPr>
                <w:rFonts w:asciiTheme="minorHAnsi" w:eastAsiaTheme="minorHAnsi" w:hAnsiTheme="minorHAnsi" w:cstheme="minorBidi"/>
                <w:sz w:val="20"/>
                <w:szCs w:val="20"/>
                <w:lang w:eastAsia="en-US"/>
              </w:rPr>
              <w:t>he shares must be in a company that’s either:</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not listed on any recognised stock exchange</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your personal company</w:t>
            </w:r>
          </w:p>
          <w:p w:rsidR="00CF704B"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The company’s main activities must be in trading (</w:t>
            </w:r>
            <w:proofErr w:type="spellStart"/>
            <w:r w:rsidRPr="000403FA">
              <w:rPr>
                <w:rFonts w:asciiTheme="minorHAnsi" w:eastAsiaTheme="minorHAnsi" w:hAnsiTheme="minorHAnsi" w:cstheme="minorBidi"/>
                <w:sz w:val="20"/>
                <w:szCs w:val="20"/>
                <w:lang w:eastAsia="en-US"/>
              </w:rPr>
              <w:t>eg</w:t>
            </w:r>
            <w:proofErr w:type="spellEnd"/>
            <w:r w:rsidRPr="000403FA">
              <w:rPr>
                <w:rFonts w:asciiTheme="minorHAnsi" w:eastAsiaTheme="minorHAnsi" w:hAnsiTheme="minorHAnsi" w:cstheme="minorBidi"/>
                <w:sz w:val="20"/>
                <w:szCs w:val="20"/>
                <w:lang w:eastAsia="en-US"/>
              </w:rPr>
              <w:t xml:space="preserve"> providing goods or services) </w:t>
            </w:r>
            <w:r w:rsidRPr="000403FA">
              <w:rPr>
                <w:rFonts w:asciiTheme="minorHAnsi" w:eastAsiaTheme="minorHAnsi" w:hAnsiTheme="minorHAnsi" w:cstheme="minorBidi"/>
                <w:sz w:val="20"/>
                <w:szCs w:val="20"/>
                <w:lang w:eastAsia="en-US"/>
              </w:rPr>
              <w:lastRenderedPageBreak/>
              <w:t>rather than non-trading activities like investment.</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Gift Hold-Over Relief means:</w:t>
            </w:r>
          </w:p>
          <w:p w:rsidR="00CF704B" w:rsidRPr="000403FA" w:rsidRDefault="00CF704B" w:rsidP="000403FA">
            <w:pPr>
              <w:pStyle w:val="NormalWeb"/>
              <w:numPr>
                <w:ilvl w:val="0"/>
                <w:numId w:val="25"/>
              </w:numPr>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you don’t pay </w:t>
            </w:r>
            <w:hyperlink r:id="rId8" w:history="1">
              <w:r w:rsidRPr="000403FA">
                <w:rPr>
                  <w:rFonts w:asciiTheme="minorHAnsi" w:eastAsiaTheme="minorHAnsi" w:hAnsiTheme="minorHAnsi" w:cstheme="minorBidi"/>
                  <w:sz w:val="20"/>
                  <w:szCs w:val="20"/>
                  <w:lang w:eastAsia="en-US"/>
                </w:rPr>
                <w:t>Capital Gains Tax</w:t>
              </w:r>
            </w:hyperlink>
            <w:r w:rsidRPr="000403FA">
              <w:rPr>
                <w:rFonts w:asciiTheme="minorHAnsi" w:eastAsiaTheme="minorHAnsi" w:hAnsiTheme="minorHAnsi" w:cstheme="minorBidi"/>
                <w:sz w:val="20"/>
                <w:szCs w:val="20"/>
                <w:lang w:eastAsia="en-US"/>
              </w:rPr>
              <w:t> when you give away the assets</w:t>
            </w:r>
          </w:p>
          <w:p w:rsidR="00CF704B" w:rsidRPr="000403FA" w:rsidRDefault="00CF704B" w:rsidP="000403FA">
            <w:pPr>
              <w:pStyle w:val="NormalWeb"/>
              <w:numPr>
                <w:ilvl w:val="0"/>
                <w:numId w:val="25"/>
              </w:numPr>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the person you give them to pays Capital Gains tax (if any is due) when they sell (or ‘</w:t>
            </w:r>
            <w:hyperlink r:id="rId9" w:history="1">
              <w:r w:rsidRPr="000403FA">
                <w:rPr>
                  <w:rFonts w:asciiTheme="minorHAnsi" w:eastAsiaTheme="minorHAnsi" w:hAnsiTheme="minorHAnsi" w:cstheme="minorBidi"/>
                  <w:sz w:val="20"/>
                  <w:szCs w:val="20"/>
                  <w:lang w:eastAsia="en-US"/>
                </w:rPr>
                <w:t>dispose of</w:t>
              </w:r>
            </w:hyperlink>
            <w:r w:rsidRPr="000403FA">
              <w:rPr>
                <w:rFonts w:asciiTheme="minorHAnsi" w:eastAsiaTheme="minorHAnsi" w:hAnsiTheme="minorHAnsi" w:cstheme="minorBidi"/>
                <w:sz w:val="20"/>
                <w:szCs w:val="20"/>
                <w:lang w:eastAsia="en-US"/>
              </w:rPr>
              <w:t>’) them</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p>
        </w:tc>
        <w:tc>
          <w:tcPr>
            <w:tcW w:w="867" w:type="dxa"/>
          </w:tcPr>
          <w:p w:rsidR="00CF704B" w:rsidRDefault="00CF704B" w:rsidP="00634473">
            <w:pPr>
              <w:rPr>
                <w:sz w:val="20"/>
                <w:szCs w:val="20"/>
              </w:rPr>
            </w:pPr>
          </w:p>
        </w:tc>
        <w:tc>
          <w:tcPr>
            <w:tcW w:w="850" w:type="dxa"/>
          </w:tcPr>
          <w:p w:rsidR="00CF704B" w:rsidRPr="00A107AF" w:rsidRDefault="00B13C87" w:rsidP="00634473">
            <w:pPr>
              <w:rPr>
                <w:sz w:val="20"/>
                <w:szCs w:val="20"/>
              </w:rPr>
            </w:pPr>
            <w:r>
              <w:rPr>
                <w:sz w:val="20"/>
                <w:szCs w:val="20"/>
              </w:rPr>
              <w:t>Unknown</w:t>
            </w:r>
          </w:p>
        </w:tc>
        <w:tc>
          <w:tcPr>
            <w:tcW w:w="4309" w:type="dxa"/>
          </w:tcPr>
          <w:p w:rsidR="00CF704B" w:rsidRPr="00A107AF" w:rsidRDefault="00CF704B" w:rsidP="00634473">
            <w:pPr>
              <w:rPr>
                <w:sz w:val="20"/>
                <w:szCs w:val="20"/>
              </w:rPr>
            </w:pPr>
          </w:p>
        </w:tc>
        <w:tc>
          <w:tcPr>
            <w:tcW w:w="2698" w:type="dxa"/>
          </w:tcPr>
          <w:p w:rsidR="00CF704B" w:rsidRPr="00A107AF" w:rsidRDefault="00CF704B" w:rsidP="00634473">
            <w:pPr>
              <w:rPr>
                <w:sz w:val="20"/>
                <w:szCs w:val="20"/>
              </w:rPr>
            </w:pPr>
          </w:p>
        </w:tc>
      </w:tr>
      <w:tr w:rsidR="00085037" w:rsidTr="00CF704B">
        <w:tc>
          <w:tcPr>
            <w:tcW w:w="1438" w:type="dxa"/>
          </w:tcPr>
          <w:p w:rsidR="00CF704B" w:rsidRDefault="00CF704B" w:rsidP="00634473">
            <w:pPr>
              <w:rPr>
                <w:sz w:val="20"/>
                <w:szCs w:val="20"/>
              </w:rPr>
            </w:pPr>
            <w:r>
              <w:rPr>
                <w:sz w:val="20"/>
                <w:szCs w:val="20"/>
              </w:rPr>
              <w:lastRenderedPageBreak/>
              <w:t>Business Asset Rollover Relief</w:t>
            </w:r>
          </w:p>
        </w:tc>
        <w:tc>
          <w:tcPr>
            <w:tcW w:w="951" w:type="dxa"/>
          </w:tcPr>
          <w:p w:rsidR="00CF704B" w:rsidRDefault="00CF704B" w:rsidP="00634473">
            <w:pPr>
              <w:rPr>
                <w:sz w:val="20"/>
                <w:szCs w:val="20"/>
              </w:rPr>
            </w:pPr>
            <w:r>
              <w:rPr>
                <w:sz w:val="20"/>
                <w:szCs w:val="20"/>
              </w:rPr>
              <w:t>HMT</w:t>
            </w:r>
          </w:p>
        </w:tc>
        <w:tc>
          <w:tcPr>
            <w:tcW w:w="2835" w:type="dxa"/>
            <w:gridSpan w:val="2"/>
          </w:tcPr>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You may be able to delay paying </w:t>
            </w:r>
            <w:hyperlink r:id="rId10" w:history="1">
              <w:r w:rsidRPr="000403FA">
                <w:rPr>
                  <w:rFonts w:asciiTheme="minorHAnsi" w:eastAsiaTheme="minorHAnsi" w:hAnsiTheme="minorHAnsi" w:cstheme="minorBidi"/>
                  <w:sz w:val="20"/>
                  <w:szCs w:val="20"/>
                  <w:lang w:eastAsia="en-US"/>
                </w:rPr>
                <w:t>Capital Gains Tax</w:t>
              </w:r>
            </w:hyperlink>
            <w:r w:rsidRPr="000403FA">
              <w:rPr>
                <w:rFonts w:asciiTheme="minorHAnsi" w:eastAsiaTheme="minorHAnsi" w:hAnsiTheme="minorHAnsi" w:cstheme="minorBidi"/>
                <w:sz w:val="20"/>
                <w:szCs w:val="20"/>
                <w:lang w:eastAsia="en-US"/>
              </w:rPr>
              <w:t> if you:</w:t>
            </w:r>
          </w:p>
          <w:p w:rsidR="00CF704B" w:rsidRPr="000403FA" w:rsidRDefault="00CF704B" w:rsidP="000403FA">
            <w:pPr>
              <w:numPr>
                <w:ilvl w:val="0"/>
                <w:numId w:val="25"/>
              </w:numPr>
              <w:shd w:val="clear" w:color="auto" w:fill="FFFFFF"/>
              <w:spacing w:before="60" w:after="60"/>
              <w:rPr>
                <w:sz w:val="20"/>
                <w:szCs w:val="20"/>
              </w:rPr>
            </w:pPr>
            <w:r w:rsidRPr="000403FA">
              <w:rPr>
                <w:sz w:val="20"/>
                <w:szCs w:val="20"/>
              </w:rPr>
              <w:t>sell (or ‘</w:t>
            </w:r>
            <w:hyperlink r:id="rId11" w:history="1">
              <w:r w:rsidRPr="000403FA">
                <w:rPr>
                  <w:sz w:val="20"/>
                  <w:szCs w:val="20"/>
                </w:rPr>
                <w:t>dispose of</w:t>
              </w:r>
            </w:hyperlink>
            <w:r w:rsidRPr="000403FA">
              <w:rPr>
                <w:sz w:val="20"/>
                <w:szCs w:val="20"/>
              </w:rPr>
              <w:t>’) some business assets</w:t>
            </w:r>
          </w:p>
          <w:p w:rsidR="00CF704B" w:rsidRPr="000403FA" w:rsidRDefault="00CF704B" w:rsidP="000403FA">
            <w:pPr>
              <w:numPr>
                <w:ilvl w:val="0"/>
                <w:numId w:val="25"/>
              </w:numPr>
              <w:shd w:val="clear" w:color="auto" w:fill="FFFFFF"/>
              <w:spacing w:before="60" w:after="60"/>
              <w:rPr>
                <w:sz w:val="20"/>
                <w:szCs w:val="20"/>
              </w:rPr>
            </w:pPr>
            <w:r w:rsidRPr="000403FA">
              <w:rPr>
                <w:sz w:val="20"/>
                <w:szCs w:val="20"/>
              </w:rPr>
              <w:t>use all or part of the proceeds to buy new assets</w:t>
            </w:r>
          </w:p>
          <w:p w:rsidR="00CF704B" w:rsidRPr="000403FA" w:rsidRDefault="00CF704B" w:rsidP="000403FA">
            <w:pPr>
              <w:pStyle w:val="NormalWeb"/>
              <w:shd w:val="clear" w:color="auto" w:fill="FFFFFF"/>
              <w:spacing w:before="180"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Business Asset Rollover Relief means you won’t pay any tax until you sell the new asset. You may then need to pay tax on the gain from the original asset.</w:t>
            </w:r>
            <w:r>
              <w:rPr>
                <w:rFonts w:asciiTheme="minorHAnsi" w:eastAsiaTheme="minorHAnsi" w:hAnsiTheme="minorHAnsi" w:cstheme="minorBidi"/>
                <w:sz w:val="20"/>
                <w:szCs w:val="20"/>
                <w:lang w:eastAsia="en-US"/>
              </w:rPr>
              <w:t xml:space="preserve"> </w:t>
            </w:r>
            <w:r w:rsidRPr="000403FA">
              <w:rPr>
                <w:rFonts w:asciiTheme="minorHAnsi" w:eastAsiaTheme="minorHAnsi" w:hAnsiTheme="minorHAnsi" w:cstheme="minorBidi"/>
                <w:sz w:val="20"/>
                <w:szCs w:val="20"/>
                <w:lang w:eastAsia="en-US"/>
              </w:rPr>
              <w:t>You can also claim:</w:t>
            </w:r>
          </w:p>
          <w:p w:rsidR="00CF704B" w:rsidRPr="000403FA" w:rsidRDefault="00CF704B" w:rsidP="000403FA">
            <w:pPr>
              <w:numPr>
                <w:ilvl w:val="0"/>
                <w:numId w:val="25"/>
              </w:numPr>
              <w:shd w:val="clear" w:color="auto" w:fill="FFFFFF"/>
              <w:spacing w:before="60" w:after="60"/>
              <w:rPr>
                <w:sz w:val="20"/>
                <w:szCs w:val="20"/>
              </w:rPr>
            </w:pPr>
            <w:r w:rsidRPr="000403FA">
              <w:rPr>
                <w:sz w:val="20"/>
                <w:szCs w:val="20"/>
              </w:rPr>
              <w:t xml:space="preserve">provisional relief if you’re planning to buy new assets with your </w:t>
            </w:r>
            <w:r w:rsidRPr="000403FA">
              <w:rPr>
                <w:sz w:val="20"/>
                <w:szCs w:val="20"/>
              </w:rPr>
              <w:lastRenderedPageBreak/>
              <w:t>proceeds but haven’t done yet</w:t>
            </w:r>
          </w:p>
          <w:p w:rsidR="00CF704B" w:rsidRDefault="00CF704B" w:rsidP="000403FA">
            <w:pPr>
              <w:numPr>
                <w:ilvl w:val="0"/>
                <w:numId w:val="25"/>
              </w:numPr>
              <w:shd w:val="clear" w:color="auto" w:fill="FFFFFF"/>
              <w:spacing w:before="60" w:after="60"/>
              <w:rPr>
                <w:sz w:val="20"/>
                <w:szCs w:val="20"/>
              </w:rPr>
            </w:pPr>
            <w:r w:rsidRPr="000403FA">
              <w:rPr>
                <w:sz w:val="20"/>
                <w:szCs w:val="20"/>
              </w:rPr>
              <w:t>relief if you use the proceeds to improve assets you already own</w:t>
            </w:r>
          </w:p>
          <w:p w:rsidR="00CF704B" w:rsidRPr="000403FA" w:rsidRDefault="00CF704B" w:rsidP="000403FA">
            <w:pPr>
              <w:pStyle w:val="NormalWeb"/>
              <w:shd w:val="clear" w:color="auto" w:fill="FFFFFF"/>
              <w:spacing w:before="48"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To qualify:</w:t>
            </w:r>
          </w:p>
          <w:p w:rsidR="00CF704B" w:rsidRPr="000403FA" w:rsidRDefault="00CF704B" w:rsidP="000403FA">
            <w:pPr>
              <w:pStyle w:val="ListParagraph"/>
              <w:numPr>
                <w:ilvl w:val="0"/>
                <w:numId w:val="31"/>
              </w:numPr>
              <w:shd w:val="clear" w:color="auto" w:fill="FFFFFF"/>
              <w:spacing w:before="60" w:after="60"/>
              <w:rPr>
                <w:sz w:val="20"/>
                <w:szCs w:val="20"/>
              </w:rPr>
            </w:pPr>
            <w:r w:rsidRPr="000403FA">
              <w:rPr>
                <w:sz w:val="20"/>
                <w:szCs w:val="20"/>
              </w:rPr>
              <w:t>you must buy the new assets within 3 years of selling or disposing of the old ones (or up to one year before)</w:t>
            </w:r>
          </w:p>
          <w:p w:rsidR="00CF704B" w:rsidRPr="000403FA" w:rsidRDefault="00CF704B" w:rsidP="000403FA">
            <w:pPr>
              <w:pStyle w:val="ListParagraph"/>
              <w:numPr>
                <w:ilvl w:val="0"/>
                <w:numId w:val="31"/>
              </w:numPr>
              <w:shd w:val="clear" w:color="auto" w:fill="FFFFFF"/>
              <w:spacing w:before="60" w:after="60"/>
              <w:rPr>
                <w:sz w:val="20"/>
                <w:szCs w:val="20"/>
              </w:rPr>
            </w:pPr>
            <w:r w:rsidRPr="000403FA">
              <w:rPr>
                <w:sz w:val="20"/>
                <w:szCs w:val="20"/>
              </w:rPr>
              <w:t>your business must be trading when you sell the old assets and buy the new ones</w:t>
            </w:r>
          </w:p>
          <w:p w:rsidR="00CF704B" w:rsidRDefault="00CF704B" w:rsidP="000403FA">
            <w:pPr>
              <w:pStyle w:val="ListParagraph"/>
              <w:numPr>
                <w:ilvl w:val="0"/>
                <w:numId w:val="31"/>
              </w:numPr>
              <w:shd w:val="clear" w:color="auto" w:fill="FFFFFF"/>
              <w:spacing w:before="60" w:after="60"/>
              <w:rPr>
                <w:sz w:val="20"/>
                <w:szCs w:val="20"/>
              </w:rPr>
            </w:pPr>
            <w:r w:rsidRPr="000403FA">
              <w:rPr>
                <w:sz w:val="20"/>
                <w:szCs w:val="20"/>
              </w:rPr>
              <w:t>you must use the old and new assets in your business</w:t>
            </w:r>
          </w:p>
          <w:p w:rsidR="00CF704B" w:rsidRPr="000403FA" w:rsidRDefault="00CF704B" w:rsidP="000403FA">
            <w:pPr>
              <w:shd w:val="clear" w:color="auto" w:fill="FFFFFF"/>
              <w:spacing w:before="60" w:after="60"/>
              <w:rPr>
                <w:sz w:val="20"/>
                <w:szCs w:val="20"/>
              </w:rPr>
            </w:pPr>
            <w:r w:rsidRPr="000403FA">
              <w:rPr>
                <w:sz w:val="20"/>
                <w:szCs w:val="20"/>
              </w:rPr>
              <w:t>You can claim relief on assets including:</w:t>
            </w:r>
          </w:p>
          <w:p w:rsidR="00CF704B" w:rsidRPr="000403FA" w:rsidRDefault="00CF704B" w:rsidP="000403FA">
            <w:pPr>
              <w:pStyle w:val="ListParagraph"/>
              <w:numPr>
                <w:ilvl w:val="0"/>
                <w:numId w:val="32"/>
              </w:numPr>
              <w:shd w:val="clear" w:color="auto" w:fill="FFFFFF"/>
              <w:spacing w:before="60" w:after="60"/>
              <w:rPr>
                <w:sz w:val="20"/>
                <w:szCs w:val="20"/>
              </w:rPr>
            </w:pPr>
            <w:r w:rsidRPr="000403FA">
              <w:rPr>
                <w:sz w:val="20"/>
                <w:szCs w:val="20"/>
              </w:rPr>
              <w:t>land and buildings</w:t>
            </w:r>
          </w:p>
          <w:p w:rsidR="00CF704B" w:rsidRPr="000403FA" w:rsidRDefault="00CF704B" w:rsidP="000403FA">
            <w:pPr>
              <w:pStyle w:val="ListParagraph"/>
              <w:numPr>
                <w:ilvl w:val="0"/>
                <w:numId w:val="32"/>
              </w:numPr>
              <w:shd w:val="clear" w:color="auto" w:fill="FFFFFF"/>
              <w:spacing w:before="60" w:after="60"/>
              <w:rPr>
                <w:sz w:val="20"/>
                <w:szCs w:val="20"/>
              </w:rPr>
            </w:pPr>
            <w:r w:rsidRPr="000403FA">
              <w:rPr>
                <w:sz w:val="20"/>
                <w:szCs w:val="20"/>
              </w:rPr>
              <w:t xml:space="preserve">fixed plant or machinery, </w:t>
            </w:r>
            <w:proofErr w:type="spellStart"/>
            <w:r w:rsidRPr="000403FA">
              <w:rPr>
                <w:sz w:val="20"/>
                <w:szCs w:val="20"/>
              </w:rPr>
              <w:t>eg</w:t>
            </w:r>
            <w:proofErr w:type="spellEnd"/>
            <w:r w:rsidRPr="000403FA">
              <w:rPr>
                <w:sz w:val="20"/>
                <w:szCs w:val="20"/>
              </w:rPr>
              <w:t xml:space="preserve"> a printing press</w:t>
            </w:r>
          </w:p>
          <w:p w:rsidR="00CF704B" w:rsidRDefault="00CF704B" w:rsidP="00E25F42">
            <w:pPr>
              <w:pStyle w:val="NormalWeb"/>
              <w:shd w:val="clear" w:color="auto" w:fill="FFFFFF"/>
              <w:spacing w:before="48" w:beforeAutospacing="0" w:after="180" w:afterAutospacing="0"/>
              <w:rPr>
                <w:rFonts w:asciiTheme="minorHAnsi" w:eastAsiaTheme="minorHAnsi" w:hAnsiTheme="minorHAnsi" w:cstheme="minorBidi"/>
                <w:sz w:val="20"/>
                <w:szCs w:val="20"/>
                <w:lang w:eastAsia="en-US"/>
              </w:rPr>
            </w:pPr>
            <w:r w:rsidRPr="000403FA">
              <w:rPr>
                <w:rFonts w:asciiTheme="minorHAnsi" w:eastAsiaTheme="minorHAnsi" w:hAnsiTheme="minorHAnsi" w:cstheme="minorBidi"/>
                <w:sz w:val="20"/>
                <w:szCs w:val="20"/>
                <w:lang w:eastAsia="en-US"/>
              </w:rPr>
              <w:t>There are </w:t>
            </w:r>
            <w:hyperlink r:id="rId12" w:history="1">
              <w:r w:rsidRPr="000403FA">
                <w:rPr>
                  <w:rFonts w:asciiTheme="minorHAnsi" w:eastAsiaTheme="minorHAnsi" w:hAnsiTheme="minorHAnsi" w:cstheme="minorBidi"/>
                  <w:sz w:val="20"/>
                  <w:szCs w:val="20"/>
                  <w:lang w:eastAsia="en-US"/>
                </w:rPr>
                <w:t>different rules</w:t>
              </w:r>
            </w:hyperlink>
            <w:r w:rsidRPr="000403FA">
              <w:rPr>
                <w:rFonts w:asciiTheme="minorHAnsi" w:eastAsiaTheme="minorHAnsi" w:hAnsiTheme="minorHAnsi" w:cstheme="minorBidi"/>
                <w:sz w:val="20"/>
                <w:szCs w:val="20"/>
                <w:lang w:eastAsia="en-US"/>
              </w:rPr>
              <w:t> if:</w:t>
            </w:r>
          </w:p>
          <w:p w:rsidR="00CF704B" w:rsidRDefault="00CF704B" w:rsidP="00E25F42">
            <w:pPr>
              <w:pStyle w:val="NormalWeb"/>
              <w:numPr>
                <w:ilvl w:val="0"/>
                <w:numId w:val="32"/>
              </w:numPr>
              <w:shd w:val="clear" w:color="auto" w:fill="FFFFFF"/>
              <w:spacing w:before="48" w:beforeAutospacing="0" w:after="180" w:afterAutospacing="0"/>
              <w:rPr>
                <w:rFonts w:asciiTheme="minorHAnsi" w:eastAsiaTheme="minorHAnsi" w:hAnsiTheme="minorHAnsi" w:cstheme="minorBidi"/>
                <w:sz w:val="20"/>
                <w:szCs w:val="20"/>
                <w:lang w:eastAsia="en-US"/>
              </w:rPr>
            </w:pPr>
            <w:r w:rsidRPr="000403FA">
              <w:rPr>
                <w:rFonts w:asciiTheme="minorHAnsi" w:hAnsiTheme="minorHAnsi" w:cstheme="minorBidi"/>
                <w:sz w:val="20"/>
                <w:szCs w:val="20"/>
              </w:rPr>
              <w:t>you only reinvest part of the proceeds from selling the old assets</w:t>
            </w:r>
          </w:p>
          <w:p w:rsidR="00CF704B" w:rsidRPr="000403FA" w:rsidRDefault="00CF704B" w:rsidP="00E25F42">
            <w:pPr>
              <w:pStyle w:val="NormalWeb"/>
              <w:numPr>
                <w:ilvl w:val="0"/>
                <w:numId w:val="32"/>
              </w:numPr>
              <w:shd w:val="clear" w:color="auto" w:fill="FFFFFF"/>
              <w:spacing w:before="48" w:beforeAutospacing="0" w:after="180" w:afterAutospacing="0"/>
              <w:rPr>
                <w:rFonts w:asciiTheme="minorHAnsi" w:eastAsiaTheme="minorHAnsi" w:hAnsiTheme="minorHAnsi" w:cstheme="minorBidi"/>
                <w:sz w:val="20"/>
                <w:szCs w:val="20"/>
                <w:lang w:eastAsia="en-US"/>
              </w:rPr>
            </w:pPr>
            <w:r w:rsidRPr="000403FA">
              <w:rPr>
                <w:rFonts w:asciiTheme="minorHAnsi" w:hAnsiTheme="minorHAnsi" w:cstheme="minorBidi"/>
                <w:sz w:val="20"/>
                <w:szCs w:val="20"/>
              </w:rPr>
              <w:t>the old assets were only partly used in your business</w:t>
            </w:r>
          </w:p>
          <w:p w:rsidR="00CF704B" w:rsidRPr="000403FA" w:rsidRDefault="00CF704B" w:rsidP="00E25F42">
            <w:pPr>
              <w:pStyle w:val="NormalWeb"/>
              <w:numPr>
                <w:ilvl w:val="0"/>
                <w:numId w:val="32"/>
              </w:numPr>
              <w:shd w:val="clear" w:color="auto" w:fill="FFFFFF"/>
              <w:spacing w:before="48" w:beforeAutospacing="0" w:after="180" w:afterAutospacing="0"/>
              <w:rPr>
                <w:rFonts w:asciiTheme="minorHAnsi" w:eastAsiaTheme="minorHAnsi" w:hAnsiTheme="minorHAnsi" w:cstheme="minorBidi"/>
                <w:sz w:val="20"/>
                <w:szCs w:val="20"/>
                <w:lang w:eastAsia="en-US"/>
              </w:rPr>
            </w:pPr>
            <w:r w:rsidRPr="000403FA">
              <w:rPr>
                <w:rFonts w:asciiTheme="minorHAnsi" w:hAnsiTheme="minorHAnsi" w:cstheme="minorBidi"/>
                <w:sz w:val="20"/>
                <w:szCs w:val="20"/>
              </w:rPr>
              <w:lastRenderedPageBreak/>
              <w:t>you use the proceeds to buy ‘depreciating assets’ (fixed plant or machinery, or assets expected to last for less than 60 years)</w:t>
            </w:r>
          </w:p>
          <w:p w:rsidR="00CF704B" w:rsidRPr="000403FA" w:rsidRDefault="00CF704B" w:rsidP="000403FA">
            <w:pPr>
              <w:shd w:val="clear" w:color="auto" w:fill="FFFFFF"/>
              <w:spacing w:before="60" w:after="60"/>
              <w:rPr>
                <w:sz w:val="20"/>
                <w:szCs w:val="20"/>
              </w:rPr>
            </w:pPr>
          </w:p>
        </w:tc>
        <w:tc>
          <w:tcPr>
            <w:tcW w:w="867" w:type="dxa"/>
          </w:tcPr>
          <w:p w:rsidR="00CF704B" w:rsidRDefault="00CF704B" w:rsidP="00634473">
            <w:pPr>
              <w:rPr>
                <w:sz w:val="20"/>
                <w:szCs w:val="20"/>
              </w:rPr>
            </w:pPr>
          </w:p>
        </w:tc>
        <w:tc>
          <w:tcPr>
            <w:tcW w:w="850" w:type="dxa"/>
          </w:tcPr>
          <w:p w:rsidR="00CF704B" w:rsidRPr="00A107AF" w:rsidRDefault="00B13C87" w:rsidP="00634473">
            <w:pPr>
              <w:rPr>
                <w:sz w:val="20"/>
                <w:szCs w:val="20"/>
              </w:rPr>
            </w:pPr>
            <w:r>
              <w:rPr>
                <w:sz w:val="20"/>
                <w:szCs w:val="20"/>
              </w:rPr>
              <w:t>Unknown</w:t>
            </w:r>
          </w:p>
        </w:tc>
        <w:tc>
          <w:tcPr>
            <w:tcW w:w="4309" w:type="dxa"/>
          </w:tcPr>
          <w:p w:rsidR="00CF704B" w:rsidRPr="00A107AF" w:rsidRDefault="00CF704B" w:rsidP="00634473">
            <w:pPr>
              <w:rPr>
                <w:sz w:val="20"/>
                <w:szCs w:val="20"/>
              </w:rPr>
            </w:pPr>
          </w:p>
        </w:tc>
        <w:tc>
          <w:tcPr>
            <w:tcW w:w="2698" w:type="dxa"/>
          </w:tcPr>
          <w:p w:rsidR="00CF704B" w:rsidRPr="00A107AF" w:rsidRDefault="00CF704B" w:rsidP="00634473">
            <w:pPr>
              <w:rPr>
                <w:sz w:val="20"/>
                <w:szCs w:val="20"/>
              </w:rPr>
            </w:pPr>
          </w:p>
        </w:tc>
      </w:tr>
      <w:tr w:rsidR="00085037" w:rsidTr="00CF704B">
        <w:tc>
          <w:tcPr>
            <w:tcW w:w="1438" w:type="dxa"/>
          </w:tcPr>
          <w:p w:rsidR="00CF704B" w:rsidRPr="00E25F42" w:rsidRDefault="00CF704B" w:rsidP="00E25F42">
            <w:pPr>
              <w:pStyle w:val="NormalWeb"/>
              <w:shd w:val="clear" w:color="auto" w:fill="FFFFFF"/>
              <w:spacing w:before="48" w:beforeAutospacing="0" w:after="180" w:afterAutospacing="0"/>
              <w:rPr>
                <w:rFonts w:asciiTheme="minorHAnsi" w:hAnsiTheme="minorHAnsi" w:cstheme="minorBidi"/>
                <w:sz w:val="20"/>
                <w:szCs w:val="20"/>
              </w:rPr>
            </w:pPr>
            <w:r>
              <w:rPr>
                <w:rFonts w:asciiTheme="minorHAnsi" w:hAnsiTheme="minorHAnsi" w:cstheme="minorBidi"/>
                <w:sz w:val="20"/>
                <w:szCs w:val="20"/>
              </w:rPr>
              <w:lastRenderedPageBreak/>
              <w:t>Incorporation Relief</w:t>
            </w:r>
          </w:p>
        </w:tc>
        <w:tc>
          <w:tcPr>
            <w:tcW w:w="951" w:type="dxa"/>
          </w:tcPr>
          <w:p w:rsidR="00CF704B" w:rsidRDefault="00CF704B" w:rsidP="00634473">
            <w:pPr>
              <w:rPr>
                <w:sz w:val="20"/>
                <w:szCs w:val="20"/>
              </w:rPr>
            </w:pPr>
            <w:r>
              <w:rPr>
                <w:sz w:val="20"/>
                <w:szCs w:val="20"/>
              </w:rPr>
              <w:t>HMT</w:t>
            </w:r>
          </w:p>
        </w:tc>
        <w:tc>
          <w:tcPr>
            <w:tcW w:w="2835" w:type="dxa"/>
            <w:gridSpan w:val="2"/>
          </w:tcPr>
          <w:p w:rsidR="00CF704B" w:rsidRPr="00E25F42" w:rsidRDefault="00CF704B" w:rsidP="00E25F42">
            <w:pPr>
              <w:rPr>
                <w:sz w:val="20"/>
                <w:szCs w:val="20"/>
              </w:rPr>
            </w:pPr>
            <w:r w:rsidRPr="00E25F42">
              <w:rPr>
                <w:sz w:val="20"/>
                <w:szCs w:val="20"/>
              </w:rPr>
              <w:t>You may be able to delay paying </w:t>
            </w:r>
            <w:hyperlink r:id="rId13" w:history="1">
              <w:r w:rsidRPr="00E25F42">
                <w:rPr>
                  <w:sz w:val="20"/>
                  <w:szCs w:val="20"/>
                </w:rPr>
                <w:t>Capital Gains Tax</w:t>
              </w:r>
            </w:hyperlink>
            <w:r w:rsidRPr="00E25F42">
              <w:rPr>
                <w:sz w:val="20"/>
                <w:szCs w:val="20"/>
              </w:rPr>
              <w:t> if you transfer your business to a company in return for shares.</w:t>
            </w:r>
          </w:p>
          <w:p w:rsidR="00CF704B" w:rsidRDefault="00CF704B" w:rsidP="00E25F42">
            <w:pPr>
              <w:rPr>
                <w:sz w:val="20"/>
                <w:szCs w:val="20"/>
              </w:rPr>
            </w:pPr>
            <w:r w:rsidRPr="00E25F42">
              <w:rPr>
                <w:sz w:val="20"/>
                <w:szCs w:val="20"/>
              </w:rPr>
              <w:t>Incorporation Relief means you won’t pay any tax until you sell (or ‘</w:t>
            </w:r>
            <w:hyperlink r:id="rId14" w:history="1">
              <w:r w:rsidRPr="00E25F42">
                <w:rPr>
                  <w:sz w:val="20"/>
                  <w:szCs w:val="20"/>
                </w:rPr>
                <w:t>dispose of</w:t>
              </w:r>
            </w:hyperlink>
            <w:r w:rsidRPr="00E25F42">
              <w:rPr>
                <w:sz w:val="20"/>
                <w:szCs w:val="20"/>
              </w:rPr>
              <w:t>’) the shares.</w:t>
            </w:r>
          </w:p>
          <w:p w:rsidR="00CF704B" w:rsidRDefault="00CF704B" w:rsidP="00E25F42">
            <w:pPr>
              <w:shd w:val="clear" w:color="auto" w:fill="FFFFFF"/>
              <w:spacing w:before="48" w:after="180"/>
              <w:rPr>
                <w:sz w:val="20"/>
                <w:szCs w:val="20"/>
              </w:rPr>
            </w:pPr>
            <w:r w:rsidRPr="00E25F42">
              <w:rPr>
                <w:sz w:val="20"/>
                <w:szCs w:val="20"/>
              </w:rPr>
              <w:t>To qualify for Incorporation Relief, you must:</w:t>
            </w:r>
          </w:p>
          <w:p w:rsidR="00CF704B" w:rsidRDefault="00CF704B" w:rsidP="00E25F42">
            <w:pPr>
              <w:pStyle w:val="ListParagraph"/>
              <w:numPr>
                <w:ilvl w:val="0"/>
                <w:numId w:val="35"/>
              </w:numPr>
              <w:shd w:val="clear" w:color="auto" w:fill="FFFFFF"/>
              <w:spacing w:before="48" w:after="180"/>
              <w:rPr>
                <w:sz w:val="20"/>
                <w:szCs w:val="20"/>
              </w:rPr>
            </w:pPr>
            <w:r w:rsidRPr="00E25F42">
              <w:rPr>
                <w:sz w:val="20"/>
                <w:szCs w:val="20"/>
              </w:rPr>
              <w:t>be a sole trader or in a business partnership</w:t>
            </w:r>
          </w:p>
          <w:p w:rsidR="00CF704B" w:rsidRPr="00E25F42" w:rsidRDefault="00CF704B" w:rsidP="00E25F42">
            <w:pPr>
              <w:pStyle w:val="ListParagraph"/>
              <w:numPr>
                <w:ilvl w:val="0"/>
                <w:numId w:val="35"/>
              </w:numPr>
              <w:shd w:val="clear" w:color="auto" w:fill="FFFFFF"/>
              <w:spacing w:before="48" w:after="180"/>
              <w:rPr>
                <w:sz w:val="20"/>
                <w:szCs w:val="20"/>
              </w:rPr>
            </w:pPr>
            <w:r w:rsidRPr="00E25F42">
              <w:rPr>
                <w:sz w:val="20"/>
                <w:szCs w:val="20"/>
              </w:rPr>
              <w:t>transfer the business and all its assets (except cash) in return for shares in the company</w:t>
            </w:r>
          </w:p>
          <w:p w:rsidR="00CF704B" w:rsidRPr="00E25F42" w:rsidRDefault="00CF704B" w:rsidP="00E25F42">
            <w:pPr>
              <w:rPr>
                <w:sz w:val="20"/>
                <w:szCs w:val="20"/>
              </w:rPr>
            </w:pPr>
          </w:p>
          <w:p w:rsidR="00CF704B" w:rsidRPr="000403FA" w:rsidRDefault="00CF704B" w:rsidP="00E25F42">
            <w:pPr>
              <w:rPr>
                <w:sz w:val="20"/>
                <w:szCs w:val="20"/>
              </w:rPr>
            </w:pPr>
          </w:p>
        </w:tc>
        <w:tc>
          <w:tcPr>
            <w:tcW w:w="867" w:type="dxa"/>
          </w:tcPr>
          <w:p w:rsidR="00CF704B" w:rsidRDefault="00CF704B" w:rsidP="00634473">
            <w:pPr>
              <w:rPr>
                <w:sz w:val="20"/>
                <w:szCs w:val="20"/>
              </w:rPr>
            </w:pPr>
          </w:p>
        </w:tc>
        <w:tc>
          <w:tcPr>
            <w:tcW w:w="850" w:type="dxa"/>
          </w:tcPr>
          <w:p w:rsidR="00CF704B" w:rsidRPr="00A107AF" w:rsidRDefault="00B13C87" w:rsidP="00634473">
            <w:pPr>
              <w:rPr>
                <w:sz w:val="20"/>
                <w:szCs w:val="20"/>
              </w:rPr>
            </w:pPr>
            <w:r>
              <w:rPr>
                <w:sz w:val="20"/>
                <w:szCs w:val="20"/>
              </w:rPr>
              <w:t>Unknown</w:t>
            </w:r>
          </w:p>
        </w:tc>
        <w:tc>
          <w:tcPr>
            <w:tcW w:w="4309" w:type="dxa"/>
          </w:tcPr>
          <w:p w:rsidR="00CF704B" w:rsidRPr="00A107AF" w:rsidRDefault="00CF704B" w:rsidP="00634473">
            <w:pPr>
              <w:rPr>
                <w:sz w:val="20"/>
                <w:szCs w:val="20"/>
              </w:rPr>
            </w:pPr>
          </w:p>
        </w:tc>
        <w:tc>
          <w:tcPr>
            <w:tcW w:w="2698" w:type="dxa"/>
          </w:tcPr>
          <w:p w:rsidR="00CF704B" w:rsidRPr="00A107AF" w:rsidRDefault="00CF704B" w:rsidP="00634473">
            <w:pPr>
              <w:rPr>
                <w:sz w:val="20"/>
                <w:szCs w:val="20"/>
              </w:rPr>
            </w:pPr>
          </w:p>
        </w:tc>
      </w:tr>
    </w:tbl>
    <w:p w:rsidR="00DB7007" w:rsidRDefault="00DB7007"/>
    <w:p w:rsidR="00DB7007" w:rsidRDefault="00CA2839">
      <w:r>
        <w:t xml:space="preserve"> </w:t>
      </w:r>
      <w:r w:rsidR="00CC595E">
        <w:t xml:space="preserve"> </w:t>
      </w:r>
    </w:p>
    <w:sectPr w:rsidR="00DB7007" w:rsidSect="00DB70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40B" w:rsidRDefault="00B8640B" w:rsidP="00942EBA">
      <w:pPr>
        <w:spacing w:after="0" w:line="240" w:lineRule="auto"/>
      </w:pPr>
      <w:r>
        <w:separator/>
      </w:r>
    </w:p>
  </w:endnote>
  <w:endnote w:type="continuationSeparator" w:id="0">
    <w:p w:rsidR="00B8640B" w:rsidRDefault="00B8640B" w:rsidP="0094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40B" w:rsidRDefault="00B8640B" w:rsidP="00942EBA">
      <w:pPr>
        <w:spacing w:after="0" w:line="240" w:lineRule="auto"/>
      </w:pPr>
      <w:r>
        <w:separator/>
      </w:r>
    </w:p>
  </w:footnote>
  <w:footnote w:type="continuationSeparator" w:id="0">
    <w:p w:rsidR="00B8640B" w:rsidRDefault="00B8640B" w:rsidP="00942EBA">
      <w:pPr>
        <w:spacing w:after="0" w:line="240" w:lineRule="auto"/>
      </w:pPr>
      <w:r>
        <w:continuationSeparator/>
      </w:r>
    </w:p>
  </w:footnote>
  <w:footnote w:id="1">
    <w:p w:rsidR="00CF704B" w:rsidRDefault="00CF704B">
      <w:pPr>
        <w:pStyle w:val="FootnoteText"/>
      </w:pPr>
      <w:r>
        <w:rPr>
          <w:rStyle w:val="FootnoteReference"/>
        </w:rPr>
        <w:footnoteRef/>
      </w:r>
      <w:r>
        <w:t xml:space="preserve"> </w:t>
      </w:r>
      <w:hyperlink r:id="rId1" w:history="1">
        <w:r w:rsidRPr="00281DA5">
          <w:rPr>
            <w:rStyle w:val="Hyperlink"/>
          </w:rPr>
          <w:t>http://www.bbc.co.uk/news/uk-northern-ireland-26458355</w:t>
        </w:r>
      </w:hyperlink>
      <w:r>
        <w:t xml:space="preserve"> </w:t>
      </w:r>
    </w:p>
  </w:footnote>
  <w:footnote w:id="2">
    <w:p w:rsidR="00CF704B" w:rsidRDefault="00CF704B" w:rsidP="0009166D">
      <w:pPr>
        <w:pStyle w:val="FootnoteText"/>
      </w:pPr>
      <w:r>
        <w:rPr>
          <w:rStyle w:val="FootnoteReference"/>
        </w:rPr>
        <w:footnoteRef/>
      </w:r>
      <w:r>
        <w:t xml:space="preserve"> NICEP - Small Business Rate Relief Evaluation - 2014</w:t>
      </w:r>
    </w:p>
  </w:footnote>
  <w:footnote w:id="3">
    <w:p w:rsidR="00CF704B" w:rsidRDefault="00CF704B">
      <w:pPr>
        <w:pStyle w:val="FootnoteText"/>
      </w:pPr>
      <w:r>
        <w:rPr>
          <w:rStyle w:val="FootnoteReference"/>
        </w:rPr>
        <w:footnoteRef/>
      </w:r>
      <w:r>
        <w:t xml:space="preserve"> </w:t>
      </w:r>
      <w:hyperlink r:id="rId2" w:history="1">
        <w:r w:rsidRPr="00281DA5">
          <w:rPr>
            <w:rStyle w:val="Hyperlink"/>
          </w:rPr>
          <w:t>http://www.northernireland.gov.uk/news-dfp-261112-rates-relief-extended.htm</w:t>
        </w:r>
      </w:hyperlink>
      <w:r>
        <w:t xml:space="preserve"> </w:t>
      </w:r>
    </w:p>
  </w:footnote>
  <w:footnote w:id="4">
    <w:p w:rsidR="00CF704B" w:rsidRDefault="00CF704B">
      <w:pPr>
        <w:pStyle w:val="FootnoteText"/>
      </w:pPr>
      <w:r>
        <w:rPr>
          <w:rStyle w:val="FootnoteReference"/>
        </w:rPr>
        <w:footnoteRef/>
      </w:r>
      <w:r>
        <w:t xml:space="preserve"> </w:t>
      </w:r>
      <w:hyperlink r:id="rId3" w:history="1">
        <w:r w:rsidRPr="00281DA5">
          <w:rPr>
            <w:rStyle w:val="Hyperlink"/>
          </w:rPr>
          <w:t>http://www.northernireland.gov.uk/news-dfp-261112-rates-relief-extended.htm</w:t>
        </w:r>
      </w:hyperlink>
    </w:p>
  </w:footnote>
  <w:footnote w:id="5">
    <w:p w:rsidR="00CF704B" w:rsidRDefault="00CF704B">
      <w:pPr>
        <w:pStyle w:val="FootnoteText"/>
      </w:pPr>
      <w:r>
        <w:rPr>
          <w:rStyle w:val="FootnoteReference"/>
        </w:rPr>
        <w:footnoteRef/>
      </w:r>
      <w:r>
        <w:t xml:space="preserve"> </w:t>
      </w:r>
      <w:hyperlink r:id="rId4" w:history="1">
        <w:r w:rsidRPr="00893276">
          <w:rPr>
            <w:rStyle w:val="Hyperlink"/>
          </w:rPr>
          <w:t>https://www.nibusinessinfo.co.uk/content/charitable-exemption</w:t>
        </w:r>
      </w:hyperlink>
      <w:r>
        <w:t xml:space="preserve"> </w:t>
      </w:r>
    </w:p>
  </w:footnote>
  <w:footnote w:id="6">
    <w:p w:rsidR="00CF704B" w:rsidRDefault="00CF704B">
      <w:pPr>
        <w:pStyle w:val="FootnoteText"/>
      </w:pPr>
      <w:r>
        <w:rPr>
          <w:rStyle w:val="FootnoteReference"/>
        </w:rPr>
        <w:footnoteRef/>
      </w:r>
      <w:r>
        <w:t xml:space="preserve"> </w:t>
      </w:r>
      <w:hyperlink r:id="rId5" w:history="1">
        <w:r w:rsidRPr="00893276">
          <w:rPr>
            <w:rStyle w:val="Hyperlink"/>
          </w:rPr>
          <w:t>https://www.gov.uk/charities-and-tax/tax-reliefs</w:t>
        </w:r>
      </w:hyperlink>
      <w:r>
        <w:t xml:space="preserve"> </w:t>
      </w:r>
    </w:p>
  </w:footnote>
  <w:footnote w:id="7">
    <w:p w:rsidR="00CF704B" w:rsidRDefault="00CF704B">
      <w:pPr>
        <w:pStyle w:val="FootnoteText"/>
      </w:pPr>
      <w:r>
        <w:rPr>
          <w:rStyle w:val="FootnoteReference"/>
        </w:rPr>
        <w:footnoteRef/>
      </w:r>
      <w:r>
        <w:t xml:space="preserve"> </w:t>
      </w:r>
      <w:hyperlink r:id="rId6" w:history="1">
        <w:r w:rsidRPr="00893276">
          <w:rPr>
            <w:rStyle w:val="Hyperlink"/>
          </w:rPr>
          <w:t>https://www.nibusinessinfo.co.uk/content/sports-and-recreation-rate-relief</w:t>
        </w:r>
      </w:hyperlink>
      <w:r>
        <w:t xml:space="preserve"> </w:t>
      </w:r>
    </w:p>
  </w:footnote>
  <w:footnote w:id="8">
    <w:p w:rsidR="00CF704B" w:rsidRDefault="00CF704B">
      <w:pPr>
        <w:pStyle w:val="FootnoteText"/>
      </w:pPr>
      <w:r>
        <w:rPr>
          <w:rStyle w:val="FootnoteReference"/>
        </w:rPr>
        <w:footnoteRef/>
      </w:r>
      <w:r>
        <w:t xml:space="preserve"> </w:t>
      </w:r>
      <w:hyperlink r:id="rId7" w:history="1">
        <w:r w:rsidRPr="00893276">
          <w:rPr>
            <w:rStyle w:val="Hyperlink"/>
          </w:rPr>
          <w:t>https://www.nibusinessinfo.co.uk/content/industrial-derating</w:t>
        </w:r>
      </w:hyperlink>
      <w:r>
        <w:t xml:space="preserve"> </w:t>
      </w:r>
    </w:p>
  </w:footnote>
  <w:footnote w:id="9">
    <w:p w:rsidR="00CF704B" w:rsidRDefault="00CF704B">
      <w:pPr>
        <w:pStyle w:val="FootnoteText"/>
      </w:pPr>
      <w:r>
        <w:rPr>
          <w:rStyle w:val="FootnoteReference"/>
        </w:rPr>
        <w:footnoteRef/>
      </w:r>
      <w:r>
        <w:t xml:space="preserve"> </w:t>
      </w:r>
      <w:r w:rsidRPr="00883BE1">
        <w:t>ERINI - Review of Industrial Derating Policy - 2007</w:t>
      </w:r>
    </w:p>
  </w:footnote>
  <w:footnote w:id="10">
    <w:p w:rsidR="00CF704B" w:rsidRPr="00BA031B" w:rsidRDefault="00CF704B" w:rsidP="00BA031B">
      <w:pPr>
        <w:spacing w:after="0" w:line="240" w:lineRule="auto"/>
        <w:rPr>
          <w:sz w:val="20"/>
          <w:szCs w:val="20"/>
        </w:rPr>
      </w:pPr>
      <w:r>
        <w:rPr>
          <w:rStyle w:val="FootnoteReference"/>
          <w:sz w:val="20"/>
          <w:szCs w:val="20"/>
        </w:rPr>
        <w:footnoteRef/>
      </w:r>
      <w:r w:rsidRPr="00BA031B">
        <w:rPr>
          <w:sz w:val="20"/>
          <w:szCs w:val="20"/>
        </w:rPr>
        <w:t xml:space="preserve">Review of Rating Policy -  </w:t>
      </w:r>
      <w:r>
        <w:rPr>
          <w:sz w:val="20"/>
          <w:szCs w:val="20"/>
        </w:rPr>
        <w:t>Final Integrated Impact Assessment (IIA) into Rate Reliefs for Business in Northern Ireland - 2006</w:t>
      </w:r>
    </w:p>
  </w:footnote>
  <w:footnote w:id="11">
    <w:p w:rsidR="00CF704B" w:rsidRDefault="00CF704B">
      <w:pPr>
        <w:pStyle w:val="FootnoteText"/>
      </w:pPr>
      <w:r>
        <w:rPr>
          <w:rStyle w:val="FootnoteReference"/>
        </w:rPr>
        <w:footnoteRef/>
      </w:r>
      <w:r>
        <w:t xml:space="preserve"> </w:t>
      </w:r>
      <w:hyperlink r:id="rId8" w:history="1">
        <w:r w:rsidRPr="00893276">
          <w:rPr>
            <w:rStyle w:val="Hyperlink"/>
          </w:rPr>
          <w:t>https://www.nibusinessinfo.co.uk/content/residential-homes-rate-relief</w:t>
        </w:r>
      </w:hyperlink>
      <w:r>
        <w:t xml:space="preserve"> </w:t>
      </w:r>
    </w:p>
  </w:footnote>
  <w:footnote w:id="12">
    <w:p w:rsidR="00CF704B" w:rsidRDefault="00CF704B" w:rsidP="00CD6132">
      <w:pPr>
        <w:pStyle w:val="FootnoteText"/>
      </w:pPr>
      <w:r>
        <w:rPr>
          <w:rStyle w:val="FootnoteReference"/>
        </w:rPr>
        <w:footnoteRef/>
      </w:r>
      <w:r>
        <w:t xml:space="preserve"> </w:t>
      </w:r>
      <w:hyperlink r:id="rId9" w:history="1">
        <w:r w:rsidRPr="00893276">
          <w:rPr>
            <w:rStyle w:val="Hyperlink"/>
          </w:rPr>
          <w:t>https://www.nibusinessinfo.co.uk/content/hardship-relief</w:t>
        </w:r>
      </w:hyperlink>
      <w:r>
        <w:t xml:space="preserve"> </w:t>
      </w:r>
    </w:p>
  </w:footnote>
  <w:footnote w:id="13">
    <w:p w:rsidR="00CF704B" w:rsidRDefault="00CF704B" w:rsidP="00CD6132">
      <w:pPr>
        <w:pStyle w:val="FootnoteText"/>
      </w:pPr>
      <w:r>
        <w:rPr>
          <w:rStyle w:val="FootnoteReference"/>
        </w:rPr>
        <w:footnoteRef/>
      </w:r>
      <w:r>
        <w:t xml:space="preserve"> Land &amp; Property Services – Information Leaflet on Hardship Relief Scheme for Non-Domestic Properties</w:t>
      </w:r>
    </w:p>
  </w:footnote>
  <w:footnote w:id="14">
    <w:p w:rsidR="00CF704B" w:rsidRDefault="00CF704B">
      <w:pPr>
        <w:pStyle w:val="FootnoteText"/>
      </w:pPr>
      <w:r>
        <w:rPr>
          <w:rStyle w:val="FootnoteReference"/>
        </w:rPr>
        <w:footnoteRef/>
      </w:r>
      <w:r>
        <w:t xml:space="preserve"> DFP – Policy Guidance Note On Hardship Relief for the Non-Domestic Sector - 2005</w:t>
      </w:r>
    </w:p>
  </w:footnote>
  <w:footnote w:id="15">
    <w:p w:rsidR="00CF704B" w:rsidRDefault="00CF704B">
      <w:pPr>
        <w:pStyle w:val="FootnoteText"/>
      </w:pPr>
      <w:r>
        <w:rPr>
          <w:rStyle w:val="FootnoteReference"/>
        </w:rPr>
        <w:footnoteRef/>
      </w:r>
      <w:r>
        <w:t xml:space="preserve"> </w:t>
      </w:r>
      <w:r w:rsidRPr="007B2417">
        <w:t>C</w:t>
      </w:r>
      <w:r>
        <w:t xml:space="preserve">entre for </w:t>
      </w:r>
      <w:r w:rsidRPr="007B2417">
        <w:t>E</w:t>
      </w:r>
      <w:r>
        <w:t xml:space="preserve">conomic </w:t>
      </w:r>
      <w:r w:rsidRPr="007B2417">
        <w:t>E</w:t>
      </w:r>
      <w:r>
        <w:t>mpowerment</w:t>
      </w:r>
      <w:r w:rsidRPr="007B2417">
        <w:t xml:space="preserve"> - A Land Value Tax for Northern Ireland - 2014</w:t>
      </w:r>
    </w:p>
  </w:footnote>
  <w:footnote w:id="16">
    <w:p w:rsidR="00CF704B" w:rsidRDefault="00CF704B">
      <w:pPr>
        <w:pStyle w:val="FootnoteText"/>
      </w:pPr>
      <w:r>
        <w:rPr>
          <w:rStyle w:val="FootnoteReference"/>
        </w:rPr>
        <w:footnoteRef/>
      </w:r>
      <w:r>
        <w:t xml:space="preserve"> </w:t>
      </w:r>
      <w:r w:rsidRPr="006F3A70">
        <w:t>SQW - An Evaluation of the Invest NI's Propel Programme - 2015</w:t>
      </w:r>
    </w:p>
  </w:footnote>
  <w:footnote w:id="17">
    <w:p w:rsidR="00CF704B" w:rsidRDefault="00CF704B">
      <w:pPr>
        <w:pStyle w:val="FootnoteText"/>
      </w:pPr>
      <w:r>
        <w:rPr>
          <w:rStyle w:val="FootnoteReference"/>
        </w:rPr>
        <w:footnoteRef/>
      </w:r>
      <w:r>
        <w:t xml:space="preserve"> SQW - </w:t>
      </w:r>
      <w:r w:rsidRPr="0009166D">
        <w:t>An Evaluation of the Invest NI Innovation Vouchers Programme</w:t>
      </w:r>
      <w:r>
        <w:t xml:space="preserve"> - 2014</w:t>
      </w:r>
    </w:p>
  </w:footnote>
  <w:footnote w:id="18">
    <w:p w:rsidR="00CF704B" w:rsidRDefault="00CF704B" w:rsidP="00D44BD0">
      <w:pPr>
        <w:pStyle w:val="FootnoteText"/>
      </w:pPr>
      <w:r>
        <w:rPr>
          <w:rStyle w:val="FootnoteReference"/>
        </w:rPr>
        <w:footnoteRef/>
      </w:r>
      <w:r>
        <w:t xml:space="preserve"> HMRC – Enterprise Management Incentives: Qualification for Capital Gains Tax Entrepreneurs' Relief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3817"/>
    <w:multiLevelType w:val="multilevel"/>
    <w:tmpl w:val="0C76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63AF"/>
    <w:multiLevelType w:val="hybridMultilevel"/>
    <w:tmpl w:val="ABA42CC8"/>
    <w:lvl w:ilvl="0" w:tplc="CFA8ED8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E1331"/>
    <w:multiLevelType w:val="multilevel"/>
    <w:tmpl w:val="C982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01B38"/>
    <w:multiLevelType w:val="hybridMultilevel"/>
    <w:tmpl w:val="2B9E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704EF"/>
    <w:multiLevelType w:val="hybridMultilevel"/>
    <w:tmpl w:val="1E342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C0119A"/>
    <w:multiLevelType w:val="hybridMultilevel"/>
    <w:tmpl w:val="4482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1957B9"/>
    <w:multiLevelType w:val="hybridMultilevel"/>
    <w:tmpl w:val="B4B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EC5A79"/>
    <w:multiLevelType w:val="hybridMultilevel"/>
    <w:tmpl w:val="5A14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C6717E"/>
    <w:multiLevelType w:val="hybridMultilevel"/>
    <w:tmpl w:val="1256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7B03FD"/>
    <w:multiLevelType w:val="multilevel"/>
    <w:tmpl w:val="582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127E4"/>
    <w:multiLevelType w:val="hybridMultilevel"/>
    <w:tmpl w:val="17EAF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D3BC3"/>
    <w:multiLevelType w:val="hybridMultilevel"/>
    <w:tmpl w:val="BC767D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390117D3"/>
    <w:multiLevelType w:val="hybridMultilevel"/>
    <w:tmpl w:val="4CB8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D67600"/>
    <w:multiLevelType w:val="multilevel"/>
    <w:tmpl w:val="5CF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98262F"/>
    <w:multiLevelType w:val="hybridMultilevel"/>
    <w:tmpl w:val="3DB8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B53F53"/>
    <w:multiLevelType w:val="hybridMultilevel"/>
    <w:tmpl w:val="0D6E7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01E6D57"/>
    <w:multiLevelType w:val="multilevel"/>
    <w:tmpl w:val="E86E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F73AB1"/>
    <w:multiLevelType w:val="hybridMultilevel"/>
    <w:tmpl w:val="A554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68F26CB"/>
    <w:multiLevelType w:val="hybridMultilevel"/>
    <w:tmpl w:val="C79E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796C19"/>
    <w:multiLevelType w:val="hybridMultilevel"/>
    <w:tmpl w:val="2D7EC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D782C17"/>
    <w:multiLevelType w:val="hybridMultilevel"/>
    <w:tmpl w:val="48E86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E34DDC"/>
    <w:multiLevelType w:val="hybridMultilevel"/>
    <w:tmpl w:val="6E60F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2A07ACC"/>
    <w:multiLevelType w:val="multilevel"/>
    <w:tmpl w:val="4DC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31269"/>
    <w:multiLevelType w:val="multilevel"/>
    <w:tmpl w:val="0D62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015F5A"/>
    <w:multiLevelType w:val="hybridMultilevel"/>
    <w:tmpl w:val="B92A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692F2B"/>
    <w:multiLevelType w:val="multilevel"/>
    <w:tmpl w:val="90CA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B1496"/>
    <w:multiLevelType w:val="multilevel"/>
    <w:tmpl w:val="E102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8D1F3A"/>
    <w:multiLevelType w:val="multilevel"/>
    <w:tmpl w:val="7CF8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DB3DF9"/>
    <w:multiLevelType w:val="multilevel"/>
    <w:tmpl w:val="910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6A64514"/>
    <w:multiLevelType w:val="multilevel"/>
    <w:tmpl w:val="B5B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CD1A01"/>
    <w:multiLevelType w:val="hybridMultilevel"/>
    <w:tmpl w:val="924AC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F5C7654"/>
    <w:multiLevelType w:val="multilevel"/>
    <w:tmpl w:val="785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963A52"/>
    <w:multiLevelType w:val="hybridMultilevel"/>
    <w:tmpl w:val="59963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5424568"/>
    <w:multiLevelType w:val="hybridMultilevel"/>
    <w:tmpl w:val="DF5AFE74"/>
    <w:lvl w:ilvl="0" w:tplc="36908C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E01649"/>
    <w:multiLevelType w:val="multilevel"/>
    <w:tmpl w:val="413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E2385E"/>
    <w:multiLevelType w:val="multilevel"/>
    <w:tmpl w:val="733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7B7DF1"/>
    <w:multiLevelType w:val="multilevel"/>
    <w:tmpl w:val="DA9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8D3CC3"/>
    <w:multiLevelType w:val="hybridMultilevel"/>
    <w:tmpl w:val="E7D0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011A30"/>
    <w:multiLevelType w:val="hybridMultilevel"/>
    <w:tmpl w:val="B13CBB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8"/>
  </w:num>
  <w:num w:numId="2">
    <w:abstractNumId w:val="11"/>
  </w:num>
  <w:num w:numId="3">
    <w:abstractNumId w:val="27"/>
  </w:num>
  <w:num w:numId="4">
    <w:abstractNumId w:val="20"/>
  </w:num>
  <w:num w:numId="5">
    <w:abstractNumId w:val="37"/>
  </w:num>
  <w:num w:numId="6">
    <w:abstractNumId w:val="6"/>
  </w:num>
  <w:num w:numId="7">
    <w:abstractNumId w:val="3"/>
  </w:num>
  <w:num w:numId="8">
    <w:abstractNumId w:val="29"/>
  </w:num>
  <w:num w:numId="9">
    <w:abstractNumId w:val="21"/>
  </w:num>
  <w:num w:numId="10">
    <w:abstractNumId w:val="18"/>
  </w:num>
  <w:num w:numId="11">
    <w:abstractNumId w:val="22"/>
  </w:num>
  <w:num w:numId="12">
    <w:abstractNumId w:val="14"/>
  </w:num>
  <w:num w:numId="13">
    <w:abstractNumId w:val="23"/>
  </w:num>
  <w:num w:numId="14">
    <w:abstractNumId w:val="17"/>
  </w:num>
  <w:num w:numId="15">
    <w:abstractNumId w:val="13"/>
  </w:num>
  <w:num w:numId="16">
    <w:abstractNumId w:val="32"/>
  </w:num>
  <w:num w:numId="17">
    <w:abstractNumId w:val="12"/>
  </w:num>
  <w:num w:numId="18">
    <w:abstractNumId w:val="28"/>
  </w:num>
  <w:num w:numId="19">
    <w:abstractNumId w:val="15"/>
  </w:num>
  <w:num w:numId="20">
    <w:abstractNumId w:val="35"/>
  </w:num>
  <w:num w:numId="21">
    <w:abstractNumId w:val="31"/>
  </w:num>
  <w:num w:numId="22">
    <w:abstractNumId w:val="5"/>
  </w:num>
  <w:num w:numId="23">
    <w:abstractNumId w:val="19"/>
  </w:num>
  <w:num w:numId="24">
    <w:abstractNumId w:val="9"/>
  </w:num>
  <w:num w:numId="25">
    <w:abstractNumId w:val="8"/>
  </w:num>
  <w:num w:numId="26">
    <w:abstractNumId w:val="2"/>
  </w:num>
  <w:num w:numId="27">
    <w:abstractNumId w:val="0"/>
  </w:num>
  <w:num w:numId="28">
    <w:abstractNumId w:val="34"/>
  </w:num>
  <w:num w:numId="29">
    <w:abstractNumId w:val="25"/>
  </w:num>
  <w:num w:numId="30">
    <w:abstractNumId w:val="36"/>
  </w:num>
  <w:num w:numId="31">
    <w:abstractNumId w:val="30"/>
  </w:num>
  <w:num w:numId="32">
    <w:abstractNumId w:val="4"/>
  </w:num>
  <w:num w:numId="33">
    <w:abstractNumId w:val="24"/>
  </w:num>
  <w:num w:numId="34">
    <w:abstractNumId w:val="7"/>
  </w:num>
  <w:num w:numId="35">
    <w:abstractNumId w:val="26"/>
  </w:num>
  <w:num w:numId="36">
    <w:abstractNumId w:val="16"/>
  </w:num>
  <w:num w:numId="37">
    <w:abstractNumId w:val="10"/>
  </w:num>
  <w:num w:numId="38">
    <w:abstractNumId w:val="3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07"/>
    <w:rsid w:val="000403FA"/>
    <w:rsid w:val="00040740"/>
    <w:rsid w:val="00085037"/>
    <w:rsid w:val="0009166D"/>
    <w:rsid w:val="0009380E"/>
    <w:rsid w:val="000B480C"/>
    <w:rsid w:val="000C425B"/>
    <w:rsid w:val="0013531D"/>
    <w:rsid w:val="00175058"/>
    <w:rsid w:val="001C6172"/>
    <w:rsid w:val="001D20CC"/>
    <w:rsid w:val="001F2207"/>
    <w:rsid w:val="00202A94"/>
    <w:rsid w:val="00271C3F"/>
    <w:rsid w:val="002D2CF5"/>
    <w:rsid w:val="002D444B"/>
    <w:rsid w:val="002E0011"/>
    <w:rsid w:val="002E6D14"/>
    <w:rsid w:val="00352A97"/>
    <w:rsid w:val="00374883"/>
    <w:rsid w:val="00392906"/>
    <w:rsid w:val="003D188D"/>
    <w:rsid w:val="00416964"/>
    <w:rsid w:val="004952E6"/>
    <w:rsid w:val="004B4CF1"/>
    <w:rsid w:val="004C6755"/>
    <w:rsid w:val="00522059"/>
    <w:rsid w:val="00523DD3"/>
    <w:rsid w:val="00535501"/>
    <w:rsid w:val="0055527B"/>
    <w:rsid w:val="00564CC1"/>
    <w:rsid w:val="005829F4"/>
    <w:rsid w:val="0058431D"/>
    <w:rsid w:val="005F541D"/>
    <w:rsid w:val="00682832"/>
    <w:rsid w:val="006A1A60"/>
    <w:rsid w:val="006F3A70"/>
    <w:rsid w:val="00766605"/>
    <w:rsid w:val="00791004"/>
    <w:rsid w:val="007B2417"/>
    <w:rsid w:val="007B7BB9"/>
    <w:rsid w:val="00800BB1"/>
    <w:rsid w:val="00875034"/>
    <w:rsid w:val="0088040C"/>
    <w:rsid w:val="00883BE1"/>
    <w:rsid w:val="00887F7D"/>
    <w:rsid w:val="008B67EA"/>
    <w:rsid w:val="008D15F3"/>
    <w:rsid w:val="009034B1"/>
    <w:rsid w:val="00920964"/>
    <w:rsid w:val="00942EBA"/>
    <w:rsid w:val="0095078C"/>
    <w:rsid w:val="00995A8B"/>
    <w:rsid w:val="009B1E6D"/>
    <w:rsid w:val="00A107AF"/>
    <w:rsid w:val="00AD7E65"/>
    <w:rsid w:val="00AE4556"/>
    <w:rsid w:val="00B13C87"/>
    <w:rsid w:val="00B27407"/>
    <w:rsid w:val="00B8640B"/>
    <w:rsid w:val="00BA031B"/>
    <w:rsid w:val="00BE0183"/>
    <w:rsid w:val="00BF30EE"/>
    <w:rsid w:val="00BF4A0B"/>
    <w:rsid w:val="00C26419"/>
    <w:rsid w:val="00C656D0"/>
    <w:rsid w:val="00C851C7"/>
    <w:rsid w:val="00CA2839"/>
    <w:rsid w:val="00CC595E"/>
    <w:rsid w:val="00CD6132"/>
    <w:rsid w:val="00CF3C6A"/>
    <w:rsid w:val="00CF704B"/>
    <w:rsid w:val="00D002BC"/>
    <w:rsid w:val="00D22603"/>
    <w:rsid w:val="00D44BD0"/>
    <w:rsid w:val="00D550FA"/>
    <w:rsid w:val="00D8479F"/>
    <w:rsid w:val="00DB7007"/>
    <w:rsid w:val="00DF0D48"/>
    <w:rsid w:val="00E12B6C"/>
    <w:rsid w:val="00E15B87"/>
    <w:rsid w:val="00E25F42"/>
    <w:rsid w:val="00E9246C"/>
    <w:rsid w:val="00F30A8E"/>
    <w:rsid w:val="00F43897"/>
    <w:rsid w:val="00F6053D"/>
    <w:rsid w:val="00F671C2"/>
    <w:rsid w:val="00FE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33340-0F2A-4001-AB68-DFE0555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47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403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42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BA"/>
    <w:rPr>
      <w:sz w:val="20"/>
      <w:szCs w:val="20"/>
    </w:rPr>
  </w:style>
  <w:style w:type="character" w:styleId="FootnoteReference">
    <w:name w:val="footnote reference"/>
    <w:basedOn w:val="DefaultParagraphFont"/>
    <w:uiPriority w:val="99"/>
    <w:semiHidden/>
    <w:unhideWhenUsed/>
    <w:rsid w:val="00942EBA"/>
    <w:rPr>
      <w:vertAlign w:val="superscript"/>
    </w:rPr>
  </w:style>
  <w:style w:type="character" w:styleId="Hyperlink">
    <w:name w:val="Hyperlink"/>
    <w:basedOn w:val="DefaultParagraphFont"/>
    <w:uiPriority w:val="99"/>
    <w:unhideWhenUsed/>
    <w:rsid w:val="00942EBA"/>
    <w:rPr>
      <w:color w:val="0563C1" w:themeColor="hyperlink"/>
      <w:u w:val="single"/>
    </w:rPr>
  </w:style>
  <w:style w:type="paragraph" w:styleId="ListParagraph">
    <w:name w:val="List Paragraph"/>
    <w:basedOn w:val="Normal"/>
    <w:uiPriority w:val="34"/>
    <w:qFormat/>
    <w:rsid w:val="00392906"/>
    <w:pPr>
      <w:ind w:left="720"/>
      <w:contextualSpacing/>
    </w:pPr>
  </w:style>
  <w:style w:type="paragraph" w:customStyle="1" w:styleId="Default">
    <w:name w:val="Default"/>
    <w:rsid w:val="00DF0D4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D18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8479F"/>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875034"/>
  </w:style>
  <w:style w:type="character" w:customStyle="1" w:styleId="Heading3Char">
    <w:name w:val="Heading 3 Char"/>
    <w:basedOn w:val="DefaultParagraphFont"/>
    <w:link w:val="Heading3"/>
    <w:uiPriority w:val="9"/>
    <w:rsid w:val="000403FA"/>
    <w:rPr>
      <w:rFonts w:asciiTheme="majorHAnsi" w:eastAsiaTheme="majorEastAsia" w:hAnsiTheme="majorHAnsi" w:cstheme="majorBidi"/>
      <w:color w:val="1F4D78" w:themeColor="accent1" w:themeShade="7F"/>
      <w:sz w:val="24"/>
      <w:szCs w:val="24"/>
    </w:rPr>
  </w:style>
  <w:style w:type="paragraph" w:styleId="BodyText2">
    <w:name w:val="Body Text 2"/>
    <w:basedOn w:val="Default"/>
    <w:next w:val="Default"/>
    <w:link w:val="BodyText2Char"/>
    <w:uiPriority w:val="99"/>
    <w:rsid w:val="00BA031B"/>
    <w:rPr>
      <w:rFonts w:ascii="Arial" w:hAnsi="Arial" w:cs="Arial"/>
      <w:color w:val="auto"/>
    </w:rPr>
  </w:style>
  <w:style w:type="character" w:customStyle="1" w:styleId="BodyText2Char">
    <w:name w:val="Body Text 2 Char"/>
    <w:basedOn w:val="DefaultParagraphFont"/>
    <w:link w:val="BodyText2"/>
    <w:uiPriority w:val="99"/>
    <w:rsid w:val="00BA031B"/>
    <w:rPr>
      <w:rFonts w:ascii="Arial" w:hAnsi="Arial" w:cs="Arial"/>
      <w:sz w:val="24"/>
      <w:szCs w:val="24"/>
    </w:rPr>
  </w:style>
  <w:style w:type="paragraph" w:styleId="BodyText">
    <w:name w:val="Body Text"/>
    <w:basedOn w:val="Normal"/>
    <w:link w:val="BodyTextChar"/>
    <w:uiPriority w:val="99"/>
    <w:semiHidden/>
    <w:unhideWhenUsed/>
    <w:rsid w:val="00BA031B"/>
    <w:pPr>
      <w:spacing w:after="120"/>
    </w:pPr>
  </w:style>
  <w:style w:type="character" w:customStyle="1" w:styleId="BodyTextChar">
    <w:name w:val="Body Text Char"/>
    <w:basedOn w:val="DefaultParagraphFont"/>
    <w:link w:val="BodyText"/>
    <w:uiPriority w:val="99"/>
    <w:semiHidden/>
    <w:rsid w:val="00BA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3566">
      <w:bodyDiv w:val="1"/>
      <w:marLeft w:val="0"/>
      <w:marRight w:val="0"/>
      <w:marTop w:val="0"/>
      <w:marBottom w:val="0"/>
      <w:divBdr>
        <w:top w:val="none" w:sz="0" w:space="0" w:color="auto"/>
        <w:left w:val="none" w:sz="0" w:space="0" w:color="auto"/>
        <w:bottom w:val="none" w:sz="0" w:space="0" w:color="auto"/>
        <w:right w:val="none" w:sz="0" w:space="0" w:color="auto"/>
      </w:divBdr>
    </w:div>
    <w:div w:id="235020754">
      <w:bodyDiv w:val="1"/>
      <w:marLeft w:val="0"/>
      <w:marRight w:val="0"/>
      <w:marTop w:val="0"/>
      <w:marBottom w:val="0"/>
      <w:divBdr>
        <w:top w:val="none" w:sz="0" w:space="0" w:color="auto"/>
        <w:left w:val="none" w:sz="0" w:space="0" w:color="auto"/>
        <w:bottom w:val="none" w:sz="0" w:space="0" w:color="auto"/>
        <w:right w:val="none" w:sz="0" w:space="0" w:color="auto"/>
      </w:divBdr>
    </w:div>
    <w:div w:id="378214127">
      <w:bodyDiv w:val="1"/>
      <w:marLeft w:val="0"/>
      <w:marRight w:val="0"/>
      <w:marTop w:val="0"/>
      <w:marBottom w:val="0"/>
      <w:divBdr>
        <w:top w:val="none" w:sz="0" w:space="0" w:color="auto"/>
        <w:left w:val="none" w:sz="0" w:space="0" w:color="auto"/>
        <w:bottom w:val="none" w:sz="0" w:space="0" w:color="auto"/>
        <w:right w:val="none" w:sz="0" w:space="0" w:color="auto"/>
      </w:divBdr>
    </w:div>
    <w:div w:id="394360198">
      <w:bodyDiv w:val="1"/>
      <w:marLeft w:val="0"/>
      <w:marRight w:val="0"/>
      <w:marTop w:val="0"/>
      <w:marBottom w:val="0"/>
      <w:divBdr>
        <w:top w:val="none" w:sz="0" w:space="0" w:color="auto"/>
        <w:left w:val="none" w:sz="0" w:space="0" w:color="auto"/>
        <w:bottom w:val="none" w:sz="0" w:space="0" w:color="auto"/>
        <w:right w:val="none" w:sz="0" w:space="0" w:color="auto"/>
      </w:divBdr>
    </w:div>
    <w:div w:id="450251652">
      <w:bodyDiv w:val="1"/>
      <w:marLeft w:val="0"/>
      <w:marRight w:val="0"/>
      <w:marTop w:val="0"/>
      <w:marBottom w:val="0"/>
      <w:divBdr>
        <w:top w:val="none" w:sz="0" w:space="0" w:color="auto"/>
        <w:left w:val="none" w:sz="0" w:space="0" w:color="auto"/>
        <w:bottom w:val="none" w:sz="0" w:space="0" w:color="auto"/>
        <w:right w:val="none" w:sz="0" w:space="0" w:color="auto"/>
      </w:divBdr>
    </w:div>
    <w:div w:id="525219845">
      <w:bodyDiv w:val="1"/>
      <w:marLeft w:val="0"/>
      <w:marRight w:val="0"/>
      <w:marTop w:val="0"/>
      <w:marBottom w:val="0"/>
      <w:divBdr>
        <w:top w:val="none" w:sz="0" w:space="0" w:color="auto"/>
        <w:left w:val="none" w:sz="0" w:space="0" w:color="auto"/>
        <w:bottom w:val="none" w:sz="0" w:space="0" w:color="auto"/>
        <w:right w:val="none" w:sz="0" w:space="0" w:color="auto"/>
      </w:divBdr>
    </w:div>
    <w:div w:id="645357583">
      <w:bodyDiv w:val="1"/>
      <w:marLeft w:val="0"/>
      <w:marRight w:val="0"/>
      <w:marTop w:val="0"/>
      <w:marBottom w:val="0"/>
      <w:divBdr>
        <w:top w:val="none" w:sz="0" w:space="0" w:color="auto"/>
        <w:left w:val="none" w:sz="0" w:space="0" w:color="auto"/>
        <w:bottom w:val="none" w:sz="0" w:space="0" w:color="auto"/>
        <w:right w:val="none" w:sz="0" w:space="0" w:color="auto"/>
      </w:divBdr>
    </w:div>
    <w:div w:id="916133587">
      <w:bodyDiv w:val="1"/>
      <w:marLeft w:val="0"/>
      <w:marRight w:val="0"/>
      <w:marTop w:val="0"/>
      <w:marBottom w:val="0"/>
      <w:divBdr>
        <w:top w:val="none" w:sz="0" w:space="0" w:color="auto"/>
        <w:left w:val="none" w:sz="0" w:space="0" w:color="auto"/>
        <w:bottom w:val="none" w:sz="0" w:space="0" w:color="auto"/>
        <w:right w:val="none" w:sz="0" w:space="0" w:color="auto"/>
      </w:divBdr>
    </w:div>
    <w:div w:id="943998202">
      <w:bodyDiv w:val="1"/>
      <w:marLeft w:val="0"/>
      <w:marRight w:val="0"/>
      <w:marTop w:val="0"/>
      <w:marBottom w:val="0"/>
      <w:divBdr>
        <w:top w:val="none" w:sz="0" w:space="0" w:color="auto"/>
        <w:left w:val="none" w:sz="0" w:space="0" w:color="auto"/>
        <w:bottom w:val="none" w:sz="0" w:space="0" w:color="auto"/>
        <w:right w:val="none" w:sz="0" w:space="0" w:color="auto"/>
      </w:divBdr>
    </w:div>
    <w:div w:id="948122611">
      <w:bodyDiv w:val="1"/>
      <w:marLeft w:val="0"/>
      <w:marRight w:val="0"/>
      <w:marTop w:val="0"/>
      <w:marBottom w:val="0"/>
      <w:divBdr>
        <w:top w:val="none" w:sz="0" w:space="0" w:color="auto"/>
        <w:left w:val="none" w:sz="0" w:space="0" w:color="auto"/>
        <w:bottom w:val="none" w:sz="0" w:space="0" w:color="auto"/>
        <w:right w:val="none" w:sz="0" w:space="0" w:color="auto"/>
      </w:divBdr>
    </w:div>
    <w:div w:id="951977941">
      <w:bodyDiv w:val="1"/>
      <w:marLeft w:val="0"/>
      <w:marRight w:val="0"/>
      <w:marTop w:val="0"/>
      <w:marBottom w:val="0"/>
      <w:divBdr>
        <w:top w:val="none" w:sz="0" w:space="0" w:color="auto"/>
        <w:left w:val="none" w:sz="0" w:space="0" w:color="auto"/>
        <w:bottom w:val="none" w:sz="0" w:space="0" w:color="auto"/>
        <w:right w:val="none" w:sz="0" w:space="0" w:color="auto"/>
      </w:divBdr>
    </w:div>
    <w:div w:id="1026323687">
      <w:bodyDiv w:val="1"/>
      <w:marLeft w:val="0"/>
      <w:marRight w:val="0"/>
      <w:marTop w:val="0"/>
      <w:marBottom w:val="0"/>
      <w:divBdr>
        <w:top w:val="none" w:sz="0" w:space="0" w:color="auto"/>
        <w:left w:val="none" w:sz="0" w:space="0" w:color="auto"/>
        <w:bottom w:val="none" w:sz="0" w:space="0" w:color="auto"/>
        <w:right w:val="none" w:sz="0" w:space="0" w:color="auto"/>
      </w:divBdr>
    </w:div>
    <w:div w:id="1111628537">
      <w:bodyDiv w:val="1"/>
      <w:marLeft w:val="0"/>
      <w:marRight w:val="0"/>
      <w:marTop w:val="0"/>
      <w:marBottom w:val="0"/>
      <w:divBdr>
        <w:top w:val="none" w:sz="0" w:space="0" w:color="auto"/>
        <w:left w:val="none" w:sz="0" w:space="0" w:color="auto"/>
        <w:bottom w:val="none" w:sz="0" w:space="0" w:color="auto"/>
        <w:right w:val="none" w:sz="0" w:space="0" w:color="auto"/>
      </w:divBdr>
    </w:div>
    <w:div w:id="1229464229">
      <w:bodyDiv w:val="1"/>
      <w:marLeft w:val="0"/>
      <w:marRight w:val="0"/>
      <w:marTop w:val="0"/>
      <w:marBottom w:val="0"/>
      <w:divBdr>
        <w:top w:val="none" w:sz="0" w:space="0" w:color="auto"/>
        <w:left w:val="none" w:sz="0" w:space="0" w:color="auto"/>
        <w:bottom w:val="none" w:sz="0" w:space="0" w:color="auto"/>
        <w:right w:val="none" w:sz="0" w:space="0" w:color="auto"/>
      </w:divBdr>
    </w:div>
    <w:div w:id="1433162676">
      <w:bodyDiv w:val="1"/>
      <w:marLeft w:val="0"/>
      <w:marRight w:val="0"/>
      <w:marTop w:val="0"/>
      <w:marBottom w:val="0"/>
      <w:divBdr>
        <w:top w:val="none" w:sz="0" w:space="0" w:color="auto"/>
        <w:left w:val="none" w:sz="0" w:space="0" w:color="auto"/>
        <w:bottom w:val="none" w:sz="0" w:space="0" w:color="auto"/>
        <w:right w:val="none" w:sz="0" w:space="0" w:color="auto"/>
      </w:divBdr>
    </w:div>
    <w:div w:id="1498611820">
      <w:bodyDiv w:val="1"/>
      <w:marLeft w:val="0"/>
      <w:marRight w:val="0"/>
      <w:marTop w:val="0"/>
      <w:marBottom w:val="0"/>
      <w:divBdr>
        <w:top w:val="none" w:sz="0" w:space="0" w:color="auto"/>
        <w:left w:val="none" w:sz="0" w:space="0" w:color="auto"/>
        <w:bottom w:val="none" w:sz="0" w:space="0" w:color="auto"/>
        <w:right w:val="none" w:sz="0" w:space="0" w:color="auto"/>
      </w:divBdr>
    </w:div>
    <w:div w:id="16393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apital-gains-tax" TargetMode="External"/><Relationship Id="rId13" Type="http://schemas.openxmlformats.org/officeDocument/2006/relationships/hyperlink" Target="https://www.gov.uk/capital-gains-t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business-asset-roll-over-relief-hs290-self-assessment-helpshe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apital-gains-tax/over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capital-gains-tax/" TargetMode="External"/><Relationship Id="rId4" Type="http://schemas.openxmlformats.org/officeDocument/2006/relationships/settings" Target="settings.xml"/><Relationship Id="rId9" Type="http://schemas.openxmlformats.org/officeDocument/2006/relationships/hyperlink" Target="https://www.gov.uk/capital-gains-tax/overview" TargetMode="External"/><Relationship Id="rId14" Type="http://schemas.openxmlformats.org/officeDocument/2006/relationships/hyperlink" Target="https://www.gov.uk/capital-gains-tax/overvie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ibusinessinfo.co.uk/content/residential-homes-rate-relief" TargetMode="External"/><Relationship Id="rId3" Type="http://schemas.openxmlformats.org/officeDocument/2006/relationships/hyperlink" Target="http://www.northernireland.gov.uk/news-dfp-261112-rates-relief-extended.htm" TargetMode="External"/><Relationship Id="rId7" Type="http://schemas.openxmlformats.org/officeDocument/2006/relationships/hyperlink" Target="https://www.nibusinessinfo.co.uk/content/industrial-derating" TargetMode="External"/><Relationship Id="rId2" Type="http://schemas.openxmlformats.org/officeDocument/2006/relationships/hyperlink" Target="http://www.northernireland.gov.uk/news-dfp-261112-rates-relief-extended.htm" TargetMode="External"/><Relationship Id="rId1" Type="http://schemas.openxmlformats.org/officeDocument/2006/relationships/hyperlink" Target="http://www.bbc.co.uk/news/uk-northern-ireland-26458355" TargetMode="External"/><Relationship Id="rId6" Type="http://schemas.openxmlformats.org/officeDocument/2006/relationships/hyperlink" Target="https://www.nibusinessinfo.co.uk/content/sports-and-recreation-rate-relief" TargetMode="External"/><Relationship Id="rId5" Type="http://schemas.openxmlformats.org/officeDocument/2006/relationships/hyperlink" Target="https://www.gov.uk/charities-and-tax/tax-reliefs" TargetMode="External"/><Relationship Id="rId4" Type="http://schemas.openxmlformats.org/officeDocument/2006/relationships/hyperlink" Target="https://www.nibusinessinfo.co.uk/content/charitable-exemption" TargetMode="External"/><Relationship Id="rId9" Type="http://schemas.openxmlformats.org/officeDocument/2006/relationships/hyperlink" Target="https://www.nibusinessinfo.co.uk/content/hardship-rel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50DF8-264E-4D43-B226-F6036500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NICVA Laptop</dc:creator>
  <cp:keywords/>
  <dc:description/>
  <cp:lastModifiedBy>Orna Young</cp:lastModifiedBy>
  <cp:revision>2</cp:revision>
  <dcterms:created xsi:type="dcterms:W3CDTF">2015-12-16T14:57:00Z</dcterms:created>
  <dcterms:modified xsi:type="dcterms:W3CDTF">2015-12-16T14:57:00Z</dcterms:modified>
</cp:coreProperties>
</file>