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2585" w14:textId="77777777" w:rsidR="002D5E7A" w:rsidRDefault="002D5E7A" w:rsidP="008D6FE7">
      <w:pPr>
        <w:autoSpaceDE w:val="0"/>
        <w:autoSpaceDN w:val="0"/>
        <w:adjustRightInd w:val="0"/>
        <w:spacing w:after="0"/>
        <w:outlineLvl w:val="0"/>
      </w:pPr>
    </w:p>
    <w:p w14:paraId="0D4D4E97" w14:textId="148F35B8" w:rsidR="002D5E7A" w:rsidRPr="008D6FE7" w:rsidRDefault="002D5E7A" w:rsidP="008D6FE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color w:val="000000"/>
          <w:sz w:val="30"/>
          <w:szCs w:val="30"/>
        </w:rPr>
      </w:pPr>
      <w:r w:rsidRPr="008D6FE7">
        <w:rPr>
          <w:rFonts w:ascii="Arial" w:hAnsi="Arial" w:cs="Arial"/>
          <w:b/>
          <w:bCs/>
          <w:color w:val="000000"/>
          <w:sz w:val="30"/>
          <w:szCs w:val="30"/>
        </w:rPr>
        <w:t>PAYSCALES</w:t>
      </w:r>
      <w:r w:rsidR="008D6FE7" w:rsidRPr="008D6FE7">
        <w:rPr>
          <w:rFonts w:ascii="Arial" w:hAnsi="Arial" w:cs="Arial"/>
          <w:b/>
          <w:bCs/>
          <w:color w:val="000000"/>
          <w:sz w:val="30"/>
          <w:szCs w:val="30"/>
        </w:rPr>
        <w:t xml:space="preserve"> using NJC pay points </w:t>
      </w:r>
      <w:r w:rsidR="00150261">
        <w:rPr>
          <w:rFonts w:ascii="Arial" w:hAnsi="Arial" w:cs="Arial"/>
          <w:b/>
          <w:bCs/>
          <w:color w:val="000000"/>
          <w:sz w:val="30"/>
          <w:szCs w:val="30"/>
        </w:rPr>
        <w:t>1 - 43</w:t>
      </w:r>
    </w:p>
    <w:p w14:paraId="69CCA04A" w14:textId="77777777" w:rsidR="008D6FE7" w:rsidRPr="00913619" w:rsidRDefault="008D6FE7" w:rsidP="008D6FE7">
      <w:pPr>
        <w:autoSpaceDE w:val="0"/>
        <w:autoSpaceDN w:val="0"/>
        <w:adjustRightInd w:val="0"/>
        <w:spacing w:after="0"/>
        <w:outlineLvl w:val="0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A2E21E1" w14:textId="55DA72A7" w:rsidR="00F64E87" w:rsidRDefault="001355EA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B42F9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Important information </w:t>
      </w:r>
    </w:p>
    <w:p w14:paraId="45662C07" w14:textId="2BF97059" w:rsidR="00F61923" w:rsidRDefault="00F61923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Please note that </w:t>
      </w:r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NICVA is in no way involved in </w:t>
      </w:r>
      <w:r w:rsidR="0056307C">
        <w:rPr>
          <w:rFonts w:ascii="Arial" w:hAnsi="Arial" w:cs="Arial"/>
          <w:color w:val="000000"/>
          <w:sz w:val="24"/>
          <w:szCs w:val="24"/>
        </w:rPr>
        <w:t>negotiating or s</w:t>
      </w:r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etting NJC </w:t>
      </w:r>
      <w:proofErr w:type="spellStart"/>
      <w:r w:rsidR="00A12DD1" w:rsidRPr="00A12DD1">
        <w:rPr>
          <w:rFonts w:ascii="Arial" w:hAnsi="Arial" w:cs="Arial"/>
          <w:color w:val="000000"/>
          <w:sz w:val="24"/>
          <w:szCs w:val="24"/>
        </w:rPr>
        <w:t>pay</w:t>
      </w:r>
      <w:r w:rsidR="006351A8">
        <w:rPr>
          <w:rFonts w:ascii="Arial" w:hAnsi="Arial" w:cs="Arial"/>
          <w:color w:val="000000"/>
          <w:sz w:val="24"/>
          <w:szCs w:val="24"/>
        </w:rPr>
        <w:t>scales</w:t>
      </w:r>
      <w:proofErr w:type="spellEnd"/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. NJC </w:t>
      </w:r>
      <w:proofErr w:type="spellStart"/>
      <w:r w:rsidR="00A12DD1" w:rsidRPr="00A12DD1">
        <w:rPr>
          <w:rFonts w:ascii="Arial" w:hAnsi="Arial" w:cs="Arial"/>
          <w:color w:val="000000"/>
          <w:sz w:val="24"/>
          <w:szCs w:val="24"/>
        </w:rPr>
        <w:t>pay</w:t>
      </w:r>
      <w:r w:rsidR="00150261">
        <w:rPr>
          <w:rFonts w:ascii="Arial" w:hAnsi="Arial" w:cs="Arial"/>
          <w:color w:val="000000"/>
          <w:sz w:val="24"/>
          <w:szCs w:val="24"/>
        </w:rPr>
        <w:t>scales</w:t>
      </w:r>
      <w:proofErr w:type="spellEnd"/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 </w:t>
      </w:r>
      <w:r w:rsidR="00150261">
        <w:rPr>
          <w:rFonts w:ascii="Arial" w:hAnsi="Arial" w:cs="Arial"/>
          <w:color w:val="000000"/>
          <w:sz w:val="24"/>
          <w:szCs w:val="24"/>
        </w:rPr>
        <w:t>are</w:t>
      </w:r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agreed</w:t>
      </w:r>
      <w:r w:rsidR="00A12DD1" w:rsidRPr="00A12DD1">
        <w:rPr>
          <w:rFonts w:ascii="Arial" w:hAnsi="Arial" w:cs="Arial"/>
          <w:color w:val="000000"/>
          <w:sz w:val="24"/>
          <w:szCs w:val="24"/>
        </w:rPr>
        <w:t xml:space="preserve"> nationally for Local Government Services by the </w:t>
      </w:r>
      <w:r w:rsidR="0056307C">
        <w:rPr>
          <w:rFonts w:ascii="Arial" w:hAnsi="Arial" w:cs="Arial"/>
          <w:color w:val="000000"/>
          <w:sz w:val="24"/>
          <w:szCs w:val="24"/>
        </w:rPr>
        <w:t>employer and trade union sides of the National Joint Council</w:t>
      </w:r>
      <w:r>
        <w:rPr>
          <w:rFonts w:ascii="Arial" w:hAnsi="Arial" w:cs="Arial"/>
          <w:color w:val="000000"/>
          <w:sz w:val="24"/>
          <w:szCs w:val="24"/>
        </w:rPr>
        <w:t>. To assist organisations in the voluntary and community sector</w:t>
      </w:r>
      <w:r w:rsidR="004665CE">
        <w:rPr>
          <w:rFonts w:ascii="Arial" w:hAnsi="Arial" w:cs="Arial"/>
          <w:color w:val="000000"/>
          <w:sz w:val="24"/>
          <w:szCs w:val="24"/>
        </w:rPr>
        <w:t xml:space="preserve"> here</w:t>
      </w:r>
      <w:r>
        <w:rPr>
          <w:rFonts w:ascii="Arial" w:hAnsi="Arial" w:cs="Arial"/>
          <w:color w:val="000000"/>
          <w:sz w:val="24"/>
          <w:szCs w:val="24"/>
        </w:rPr>
        <w:t xml:space="preserve">, NICVA produces the attached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payscales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using NJC pay points includ</w:t>
      </w:r>
      <w:r w:rsidR="004665CE">
        <w:rPr>
          <w:rFonts w:ascii="Arial" w:hAnsi="Arial" w:cs="Arial"/>
          <w:color w:val="000000"/>
          <w:sz w:val="24"/>
          <w:szCs w:val="24"/>
        </w:rPr>
        <w:t>ing</w:t>
      </w:r>
      <w:r>
        <w:rPr>
          <w:rFonts w:ascii="Arial" w:hAnsi="Arial" w:cs="Arial"/>
          <w:color w:val="000000"/>
          <w:sz w:val="24"/>
          <w:szCs w:val="24"/>
        </w:rPr>
        <w:t xml:space="preserve"> pay bands from Scale 1 up. </w:t>
      </w:r>
    </w:p>
    <w:p w14:paraId="28C8E969" w14:textId="3EAF3477" w:rsidR="00F61923" w:rsidRDefault="00F61923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CACEA9" w14:textId="77777777" w:rsidR="00107D36" w:rsidRDefault="00F93004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NJC agreed a two y</w:t>
      </w:r>
      <w:r w:rsidR="00F61923">
        <w:rPr>
          <w:rFonts w:ascii="Arial" w:hAnsi="Arial" w:cs="Arial"/>
          <w:color w:val="000000"/>
          <w:sz w:val="24"/>
          <w:szCs w:val="24"/>
        </w:rPr>
        <w:t xml:space="preserve">ear deal </w:t>
      </w:r>
      <w:r>
        <w:rPr>
          <w:rFonts w:ascii="Arial" w:hAnsi="Arial" w:cs="Arial"/>
          <w:color w:val="000000"/>
          <w:sz w:val="24"/>
          <w:szCs w:val="24"/>
        </w:rPr>
        <w:t xml:space="preserve">for </w:t>
      </w:r>
      <w:r w:rsidR="00F61923">
        <w:rPr>
          <w:rFonts w:ascii="Arial" w:hAnsi="Arial" w:cs="Arial"/>
          <w:color w:val="000000"/>
          <w:sz w:val="24"/>
          <w:szCs w:val="24"/>
        </w:rPr>
        <w:t xml:space="preserve">2018 – 2020 and further information can be found here: </w:t>
      </w:r>
      <w:hyperlink r:id="rId7" w:history="1">
        <w:r w:rsidR="00F61923" w:rsidRPr="0083625B">
          <w:rPr>
            <w:rStyle w:val="Hyperlink"/>
            <w:rFonts w:ascii="Arial" w:hAnsi="Arial" w:cs="Arial"/>
            <w:sz w:val="24"/>
            <w:szCs w:val="24"/>
          </w:rPr>
          <w:t>https://www.gmb.org.uk/sites/default/files/LG_OFFER.pdf</w:t>
        </w:r>
      </w:hyperlink>
      <w:r w:rsidR="00F6192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EFD61B" w14:textId="77777777" w:rsidR="00107D36" w:rsidRDefault="00107D36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C25B91" w14:textId="6A90BB85" w:rsidR="006351A8" w:rsidRDefault="00F61923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spellStart"/>
      <w:r w:rsidR="00107D36">
        <w:rPr>
          <w:rFonts w:ascii="Arial" w:hAnsi="Arial" w:cs="Arial"/>
          <w:color w:val="000000"/>
          <w:sz w:val="24"/>
          <w:szCs w:val="24"/>
        </w:rPr>
        <w:t>pay</w:t>
      </w:r>
      <w:r>
        <w:rPr>
          <w:rFonts w:ascii="Arial" w:hAnsi="Arial" w:cs="Arial"/>
          <w:color w:val="000000"/>
          <w:sz w:val="24"/>
          <w:szCs w:val="24"/>
        </w:rPr>
        <w:t>scales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 the 2019/20 year were significantly reformed. </w:t>
      </w:r>
      <w:r w:rsidR="006351A8">
        <w:rPr>
          <w:rFonts w:ascii="Arial" w:hAnsi="Arial" w:cs="Arial"/>
          <w:color w:val="000000"/>
          <w:sz w:val="24"/>
          <w:szCs w:val="24"/>
        </w:rPr>
        <w:t xml:space="preserve">For 2019 - 2020, organisations should review the </w:t>
      </w:r>
      <w:r>
        <w:rPr>
          <w:rFonts w:ascii="Arial" w:hAnsi="Arial" w:cs="Arial"/>
          <w:color w:val="000000"/>
          <w:sz w:val="24"/>
          <w:szCs w:val="24"/>
        </w:rPr>
        <w:t xml:space="preserve">NJC </w:t>
      </w:r>
      <w:r w:rsidR="006351A8">
        <w:rPr>
          <w:rFonts w:ascii="Arial" w:hAnsi="Arial" w:cs="Arial"/>
          <w:color w:val="000000"/>
          <w:sz w:val="24"/>
          <w:szCs w:val="24"/>
        </w:rPr>
        <w:t xml:space="preserve">technical guidance which provides worked examples of how to align to the new pay points: </w:t>
      </w:r>
      <w:hyperlink r:id="rId8" w:history="1">
        <w:r w:rsidR="006351A8" w:rsidRPr="0083625B">
          <w:rPr>
            <w:rStyle w:val="Hyperlink"/>
            <w:rFonts w:ascii="Arial" w:hAnsi="Arial" w:cs="Arial"/>
            <w:sz w:val="24"/>
            <w:szCs w:val="24"/>
          </w:rPr>
          <w:t>https://www.unison.org.uk/content/uploads/2018/08/NJC-Technical-Advice-in-Local-Discussions.pdf</w:t>
        </w:r>
      </w:hyperlink>
      <w:r w:rsidR="006351A8">
        <w:rPr>
          <w:rFonts w:ascii="Arial" w:hAnsi="Arial" w:cs="Arial"/>
          <w:color w:val="000000"/>
          <w:sz w:val="24"/>
          <w:szCs w:val="24"/>
        </w:rPr>
        <w:t xml:space="preserve"> The guidance outlines two options (increment then assimilate OR assimilate then increment) and it is up to each individual organisation to decide on how it will apply the scales. </w:t>
      </w:r>
    </w:p>
    <w:p w14:paraId="2040D6C8" w14:textId="22B6C578" w:rsidR="006351A8" w:rsidRDefault="006351A8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9447EF7" w14:textId="69E85C33" w:rsidR="006351A8" w:rsidRPr="00F61923" w:rsidRDefault="006351A8" w:rsidP="00F61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61923">
        <w:rPr>
          <w:rFonts w:ascii="Arial" w:hAnsi="Arial" w:cs="Arial"/>
          <w:color w:val="000000"/>
          <w:sz w:val="24"/>
          <w:szCs w:val="24"/>
        </w:rPr>
        <w:t>Given the</w:t>
      </w:r>
      <w:r w:rsidR="00F61923" w:rsidRPr="00F61923">
        <w:rPr>
          <w:rFonts w:ascii="Arial" w:hAnsi="Arial" w:cs="Arial"/>
          <w:color w:val="000000"/>
          <w:sz w:val="24"/>
          <w:szCs w:val="24"/>
        </w:rPr>
        <w:t xml:space="preserve"> significant</w:t>
      </w:r>
      <w:r w:rsidRPr="00F61923">
        <w:rPr>
          <w:rFonts w:ascii="Arial" w:hAnsi="Arial" w:cs="Arial"/>
          <w:color w:val="000000"/>
          <w:sz w:val="24"/>
          <w:szCs w:val="24"/>
        </w:rPr>
        <w:t xml:space="preserve"> changes to the </w:t>
      </w:r>
      <w:proofErr w:type="spellStart"/>
      <w:r w:rsidRPr="00F61923">
        <w:rPr>
          <w:rFonts w:ascii="Arial" w:hAnsi="Arial" w:cs="Arial"/>
          <w:color w:val="000000"/>
          <w:sz w:val="24"/>
          <w:szCs w:val="24"/>
        </w:rPr>
        <w:t>payscales</w:t>
      </w:r>
      <w:proofErr w:type="spellEnd"/>
      <w:r w:rsidRPr="00F61923">
        <w:rPr>
          <w:rFonts w:ascii="Arial" w:hAnsi="Arial" w:cs="Arial"/>
          <w:color w:val="000000"/>
          <w:sz w:val="24"/>
          <w:szCs w:val="24"/>
        </w:rPr>
        <w:t xml:space="preserve">, </w:t>
      </w:r>
      <w:r w:rsidR="00F61923" w:rsidRPr="00F61923">
        <w:rPr>
          <w:rFonts w:ascii="Arial" w:hAnsi="Arial" w:cs="Arial"/>
          <w:color w:val="000000"/>
          <w:sz w:val="24"/>
          <w:szCs w:val="24"/>
        </w:rPr>
        <w:t>NICVA is reviewing the j</w:t>
      </w:r>
      <w:r w:rsidR="002063C6" w:rsidRPr="00F61923">
        <w:rPr>
          <w:rFonts w:ascii="Arial" w:hAnsi="Arial" w:cs="Arial"/>
          <w:color w:val="000000"/>
          <w:sz w:val="24"/>
          <w:szCs w:val="24"/>
        </w:rPr>
        <w:t xml:space="preserve">ob title </w:t>
      </w:r>
      <w:r w:rsidRPr="00F61923">
        <w:rPr>
          <w:rFonts w:ascii="Arial" w:hAnsi="Arial" w:cs="Arial"/>
          <w:color w:val="000000"/>
          <w:sz w:val="24"/>
          <w:szCs w:val="24"/>
        </w:rPr>
        <w:t>descriptors</w:t>
      </w:r>
      <w:r w:rsidR="00F61923" w:rsidRPr="00F61923">
        <w:rPr>
          <w:rFonts w:ascii="Arial" w:hAnsi="Arial" w:cs="Arial"/>
          <w:color w:val="000000"/>
          <w:sz w:val="24"/>
          <w:szCs w:val="24"/>
        </w:rPr>
        <w:t xml:space="preserve"> assigned </w:t>
      </w:r>
      <w:r w:rsidRPr="00F61923">
        <w:rPr>
          <w:rFonts w:ascii="Arial" w:hAnsi="Arial" w:cs="Arial"/>
          <w:color w:val="000000"/>
          <w:sz w:val="24"/>
          <w:szCs w:val="24"/>
        </w:rPr>
        <w:t xml:space="preserve">for </w:t>
      </w:r>
      <w:r w:rsidR="00F61923" w:rsidRPr="00F61923">
        <w:rPr>
          <w:rFonts w:ascii="Arial" w:hAnsi="Arial" w:cs="Arial"/>
          <w:color w:val="000000"/>
          <w:sz w:val="24"/>
          <w:szCs w:val="24"/>
        </w:rPr>
        <w:t>each pay band</w:t>
      </w:r>
      <w:r w:rsidR="00107D36">
        <w:rPr>
          <w:rFonts w:ascii="Arial" w:hAnsi="Arial" w:cs="Arial"/>
          <w:color w:val="000000"/>
          <w:sz w:val="24"/>
          <w:szCs w:val="24"/>
        </w:rPr>
        <w:t xml:space="preserve"> which can be found in previous versions of the </w:t>
      </w:r>
      <w:proofErr w:type="spellStart"/>
      <w:r w:rsidR="00107D36">
        <w:rPr>
          <w:rFonts w:ascii="Arial" w:hAnsi="Arial" w:cs="Arial"/>
          <w:color w:val="000000"/>
          <w:sz w:val="24"/>
          <w:szCs w:val="24"/>
        </w:rPr>
        <w:t>payscales</w:t>
      </w:r>
      <w:proofErr w:type="spellEnd"/>
      <w:r w:rsidR="00F61923" w:rsidRPr="00F61923">
        <w:rPr>
          <w:rFonts w:ascii="Arial" w:hAnsi="Arial" w:cs="Arial"/>
          <w:color w:val="000000"/>
          <w:sz w:val="24"/>
          <w:szCs w:val="24"/>
        </w:rPr>
        <w:t>.</w:t>
      </w:r>
      <w:r w:rsidRPr="00F61923">
        <w:rPr>
          <w:rFonts w:ascii="Arial" w:hAnsi="Arial" w:cs="Arial"/>
          <w:color w:val="000000"/>
          <w:sz w:val="24"/>
          <w:szCs w:val="24"/>
        </w:rPr>
        <w:t xml:space="preserve"> </w:t>
      </w:r>
      <w:r w:rsidR="00107D36">
        <w:rPr>
          <w:rFonts w:ascii="Arial" w:hAnsi="Arial" w:cs="Arial"/>
          <w:color w:val="000000"/>
          <w:sz w:val="24"/>
          <w:szCs w:val="24"/>
        </w:rPr>
        <w:t xml:space="preserve">NICVA does not give guidance on setting pay for specific job roles. </w:t>
      </w:r>
    </w:p>
    <w:p w14:paraId="42E73553" w14:textId="77777777" w:rsidR="00107D36" w:rsidRDefault="00107D36" w:rsidP="00107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10AE46" w14:textId="32AA6919" w:rsidR="00107D36" w:rsidRDefault="00107D36" w:rsidP="00107D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For information, t</w:t>
      </w:r>
      <w:r>
        <w:rPr>
          <w:rFonts w:ascii="Arial" w:hAnsi="Arial" w:cs="Arial"/>
          <w:color w:val="000000"/>
          <w:sz w:val="24"/>
          <w:szCs w:val="24"/>
        </w:rPr>
        <w:t xml:space="preserve">he NJC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payscales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are based on Local</w:t>
      </w:r>
      <w:r w:rsidRPr="00A12DD1">
        <w:rPr>
          <w:rFonts w:ascii="Arial" w:hAnsi="Arial" w:cs="Arial"/>
          <w:color w:val="000000"/>
          <w:sz w:val="24"/>
          <w:szCs w:val="24"/>
        </w:rPr>
        <w:t xml:space="preserve"> Government working hours of 37 per week. NICVA working hours are 35 per week, therefore NICVA uses the same NJC scales based on a </w:t>
      </w:r>
      <w:proofErr w:type="gramStart"/>
      <w:r w:rsidRPr="00A12DD1">
        <w:rPr>
          <w:rFonts w:ascii="Arial" w:hAnsi="Arial" w:cs="Arial"/>
          <w:color w:val="000000"/>
          <w:sz w:val="24"/>
          <w:szCs w:val="24"/>
        </w:rPr>
        <w:t>35</w:t>
      </w:r>
      <w:r>
        <w:rPr>
          <w:rFonts w:ascii="Arial" w:hAnsi="Arial" w:cs="Arial"/>
          <w:color w:val="000000"/>
          <w:sz w:val="24"/>
          <w:szCs w:val="24"/>
        </w:rPr>
        <w:t xml:space="preserve"> hour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week; this is not pro-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rata’</w:t>
      </w:r>
      <w:r w:rsidRPr="00A12DD1"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68F7864" w14:textId="77777777" w:rsidR="00F61923" w:rsidRDefault="00F61923" w:rsidP="00F61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807D90" w14:textId="77777777" w:rsidR="00F64E87" w:rsidRDefault="00BF78A9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7B42F9">
        <w:rPr>
          <w:rFonts w:ascii="Arial" w:hAnsi="Arial" w:cs="Arial"/>
          <w:b/>
          <w:color w:val="000000"/>
          <w:sz w:val="24"/>
          <w:szCs w:val="24"/>
          <w:u w:val="single"/>
        </w:rPr>
        <w:t>Guidance on s</w:t>
      </w:r>
      <w:r w:rsidR="001355EA" w:rsidRPr="007B42F9">
        <w:rPr>
          <w:rFonts w:ascii="Arial" w:hAnsi="Arial" w:cs="Arial"/>
          <w:b/>
          <w:color w:val="000000"/>
          <w:sz w:val="24"/>
          <w:szCs w:val="24"/>
          <w:u w:val="single"/>
        </w:rPr>
        <w:t>etting pay in your organisation</w:t>
      </w:r>
      <w:r w:rsidR="001355E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505DA2ED" w14:textId="4E8EBB00" w:rsidR="001355EA" w:rsidRDefault="00F61923" w:rsidP="0022735E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F61923">
        <w:rPr>
          <w:rFonts w:ascii="Arial" w:hAnsi="Arial" w:cs="Arial"/>
          <w:color w:val="000000"/>
          <w:sz w:val="24"/>
          <w:szCs w:val="24"/>
        </w:rPr>
        <w:t xml:space="preserve">These </w:t>
      </w:r>
      <w:proofErr w:type="spellStart"/>
      <w:r w:rsidRPr="00F61923">
        <w:rPr>
          <w:rFonts w:ascii="Arial" w:hAnsi="Arial" w:cs="Arial"/>
          <w:color w:val="000000"/>
          <w:sz w:val="24"/>
          <w:szCs w:val="24"/>
        </w:rPr>
        <w:t>payscales</w:t>
      </w:r>
      <w:proofErr w:type="spellEnd"/>
      <w:r w:rsidRPr="00F61923">
        <w:rPr>
          <w:rFonts w:ascii="Arial" w:hAnsi="Arial" w:cs="Arial"/>
          <w:color w:val="000000"/>
          <w:sz w:val="24"/>
          <w:szCs w:val="24"/>
        </w:rPr>
        <w:t xml:space="preserve"> are for guidance only.</w:t>
      </w:r>
      <w:r>
        <w:rPr>
          <w:rFonts w:ascii="Arial" w:hAnsi="Arial" w:cs="Arial"/>
          <w:color w:val="000000"/>
          <w:sz w:val="24"/>
          <w:szCs w:val="24"/>
        </w:rPr>
        <w:t xml:space="preserve"> Management in any organisation should</w:t>
      </w:r>
      <w:r w:rsidR="0022735E">
        <w:rPr>
          <w:rFonts w:ascii="Arial" w:hAnsi="Arial" w:cs="Arial"/>
          <w:color w:val="000000"/>
          <w:sz w:val="24"/>
          <w:szCs w:val="24"/>
        </w:rPr>
        <w:t xml:space="preserve"> develop an objective system for determining pay</w:t>
      </w:r>
      <w:r>
        <w:rPr>
          <w:rFonts w:ascii="Arial" w:hAnsi="Arial" w:cs="Arial"/>
          <w:color w:val="000000"/>
          <w:sz w:val="24"/>
          <w:szCs w:val="24"/>
        </w:rPr>
        <w:t xml:space="preserve"> for each role in the organisation based on a variety of factors</w:t>
      </w:r>
      <w:r w:rsidR="0022735E">
        <w:rPr>
          <w:rFonts w:ascii="Arial" w:hAnsi="Arial" w:cs="Arial"/>
          <w:color w:val="000000"/>
          <w:sz w:val="24"/>
          <w:szCs w:val="24"/>
        </w:rPr>
        <w:t xml:space="preserve"> to </w:t>
      </w:r>
      <w:r w:rsidR="007B42F9">
        <w:rPr>
          <w:rFonts w:ascii="Arial" w:hAnsi="Arial" w:cs="Arial"/>
          <w:color w:val="000000"/>
          <w:sz w:val="24"/>
          <w:szCs w:val="24"/>
        </w:rPr>
        <w:t>ensure fair pay for each role:</w:t>
      </w:r>
    </w:p>
    <w:p w14:paraId="42BCF7B4" w14:textId="77777777" w:rsidR="007B42F9" w:rsidRPr="0065267C" w:rsidRDefault="007B42F9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 xml:space="preserve">Responsibility - </w:t>
      </w:r>
      <w:r w:rsidRPr="0065267C">
        <w:rPr>
          <w:rFonts w:ascii="Arial" w:hAnsi="Arial" w:cs="Arial"/>
          <w:color w:val="000000"/>
          <w:sz w:val="24"/>
          <w:szCs w:val="24"/>
        </w:rPr>
        <w:t>who is responsible for setting pay? Ideally there should be someone or a committee who review pay to ensure consistency.</w:t>
      </w:r>
    </w:p>
    <w:p w14:paraId="66778A08" w14:textId="765DCEB8" w:rsidR="001355EA" w:rsidRPr="0065267C" w:rsidRDefault="001355EA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>Policy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– have a clear policy. Ensure employment contracts are clear in terms of pay, the scales</w:t>
      </w:r>
      <w:r w:rsidR="00BF78A9" w:rsidRPr="0065267C">
        <w:rPr>
          <w:rFonts w:ascii="Arial" w:hAnsi="Arial" w:cs="Arial"/>
          <w:color w:val="000000"/>
          <w:sz w:val="24"/>
          <w:szCs w:val="24"/>
        </w:rPr>
        <w:t xml:space="preserve"> used</w:t>
      </w:r>
      <w:r w:rsidRPr="0065267C">
        <w:rPr>
          <w:rFonts w:ascii="Arial" w:hAnsi="Arial" w:cs="Arial"/>
          <w:color w:val="000000"/>
          <w:sz w:val="24"/>
          <w:szCs w:val="24"/>
        </w:rPr>
        <w:t>, progression and</w:t>
      </w:r>
      <w:r w:rsidR="00BF78A9" w:rsidRPr="0065267C">
        <w:rPr>
          <w:rFonts w:ascii="Arial" w:hAnsi="Arial" w:cs="Arial"/>
          <w:color w:val="000000"/>
          <w:sz w:val="24"/>
          <w:szCs w:val="24"/>
        </w:rPr>
        <w:t xml:space="preserve"> how increases are attained/</w:t>
      </w:r>
      <w:r w:rsidRPr="0065267C">
        <w:rPr>
          <w:rFonts w:ascii="Arial" w:hAnsi="Arial" w:cs="Arial"/>
          <w:color w:val="000000"/>
          <w:sz w:val="24"/>
          <w:szCs w:val="24"/>
        </w:rPr>
        <w:t>applied.</w:t>
      </w:r>
    </w:p>
    <w:p w14:paraId="12F7465A" w14:textId="77777777" w:rsidR="001355EA" w:rsidRPr="0065267C" w:rsidRDefault="001355EA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 xml:space="preserve">Job Role - </w:t>
      </w:r>
      <w:r w:rsidRPr="0065267C">
        <w:rPr>
          <w:rFonts w:ascii="Arial" w:hAnsi="Arial" w:cs="Arial"/>
          <w:color w:val="000000"/>
          <w:sz w:val="24"/>
          <w:szCs w:val="24"/>
        </w:rPr>
        <w:t>Have you set a clear job and person specification which identifies the duties of the role and the experience and skills required to do the role?</w:t>
      </w:r>
    </w:p>
    <w:p w14:paraId="33529E52" w14:textId="77777777" w:rsidR="001355EA" w:rsidRPr="0065267C" w:rsidRDefault="001355EA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>Benchmarking</w:t>
      </w:r>
      <w:r w:rsidR="00C22E8A" w:rsidRPr="0065267C">
        <w:rPr>
          <w:rFonts w:ascii="Arial" w:hAnsi="Arial" w:cs="Arial"/>
          <w:b/>
          <w:color w:val="000000"/>
          <w:sz w:val="24"/>
          <w:szCs w:val="24"/>
        </w:rPr>
        <w:t>*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– What are other </w:t>
      </w:r>
      <w:r w:rsidR="007B42F9" w:rsidRPr="0065267C">
        <w:rPr>
          <w:rFonts w:ascii="Arial" w:hAnsi="Arial" w:cs="Arial"/>
          <w:color w:val="000000"/>
          <w:sz w:val="24"/>
          <w:szCs w:val="24"/>
        </w:rPr>
        <w:t>similar organisations paying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similar roles?</w:t>
      </w:r>
    </w:p>
    <w:p w14:paraId="03908F67" w14:textId="77777777" w:rsidR="00BF78A9" w:rsidRPr="0065267C" w:rsidRDefault="00BF78A9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 xml:space="preserve">Job evaluation 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– </w:t>
      </w:r>
      <w:r w:rsidR="007B42F9" w:rsidRPr="0065267C">
        <w:rPr>
          <w:rFonts w:ascii="Arial" w:hAnsi="Arial" w:cs="Arial"/>
          <w:color w:val="000000"/>
          <w:sz w:val="24"/>
          <w:szCs w:val="24"/>
        </w:rPr>
        <w:t xml:space="preserve">This 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is a method of determining on a systematic basis the relative importance of </w:t>
      </w:r>
      <w:proofErr w:type="gramStart"/>
      <w:r w:rsidRPr="0065267C">
        <w:rPr>
          <w:rFonts w:ascii="Arial" w:hAnsi="Arial" w:cs="Arial"/>
          <w:color w:val="000000"/>
          <w:sz w:val="24"/>
          <w:szCs w:val="24"/>
        </w:rPr>
        <w:t>a number of</w:t>
      </w:r>
      <w:proofErr w:type="gramEnd"/>
      <w:r w:rsidRPr="0065267C">
        <w:rPr>
          <w:rFonts w:ascii="Arial" w:hAnsi="Arial" w:cs="Arial"/>
          <w:color w:val="000000"/>
          <w:sz w:val="24"/>
          <w:szCs w:val="24"/>
        </w:rPr>
        <w:t xml:space="preserve"> different jobs. </w:t>
      </w:r>
      <w:r w:rsidR="007B42F9" w:rsidRPr="0065267C">
        <w:rPr>
          <w:rFonts w:ascii="Arial" w:hAnsi="Arial" w:cs="Arial"/>
          <w:color w:val="000000"/>
          <w:sz w:val="24"/>
          <w:szCs w:val="24"/>
        </w:rPr>
        <w:t>Someone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trained in job evaluation may carry this out for you. </w:t>
      </w:r>
    </w:p>
    <w:p w14:paraId="5BDA0D33" w14:textId="77777777" w:rsidR="00BF78A9" w:rsidRPr="0065267C" w:rsidRDefault="00BF78A9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>Equal Pay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– ensure your pay policy is not discriminatory</w:t>
      </w:r>
      <w:r w:rsidR="008D6FE7" w:rsidRPr="0065267C">
        <w:rPr>
          <w:rFonts w:ascii="Arial" w:hAnsi="Arial" w:cs="Arial"/>
          <w:color w:val="000000"/>
          <w:sz w:val="24"/>
          <w:szCs w:val="24"/>
        </w:rPr>
        <w:t xml:space="preserve"> and that there is </w:t>
      </w:r>
      <w:r w:rsidRPr="0065267C">
        <w:rPr>
          <w:rFonts w:ascii="Arial" w:hAnsi="Arial" w:cs="Arial"/>
          <w:color w:val="000000"/>
          <w:sz w:val="24"/>
          <w:szCs w:val="24"/>
        </w:rPr>
        <w:t>equ</w:t>
      </w:r>
      <w:r w:rsidR="008D6FE7" w:rsidRPr="0065267C">
        <w:rPr>
          <w:rFonts w:ascii="Arial" w:hAnsi="Arial" w:cs="Arial"/>
          <w:color w:val="000000"/>
          <w:sz w:val="24"/>
          <w:szCs w:val="24"/>
        </w:rPr>
        <w:t xml:space="preserve">al pay for work of equal value. This </w:t>
      </w:r>
      <w:r w:rsidRPr="0065267C">
        <w:rPr>
          <w:rFonts w:ascii="Arial" w:hAnsi="Arial" w:cs="Arial"/>
          <w:color w:val="000000"/>
          <w:sz w:val="24"/>
          <w:szCs w:val="24"/>
        </w:rPr>
        <w:t>may be for the same</w:t>
      </w:r>
      <w:r w:rsidR="008D6FE7" w:rsidRPr="0065267C">
        <w:rPr>
          <w:rFonts w:ascii="Arial" w:hAnsi="Arial" w:cs="Arial"/>
          <w:color w:val="000000"/>
          <w:sz w:val="24"/>
          <w:szCs w:val="24"/>
        </w:rPr>
        <w:t xml:space="preserve"> or a similar </w:t>
      </w:r>
      <w:r w:rsidRPr="0065267C">
        <w:rPr>
          <w:rFonts w:ascii="Arial" w:hAnsi="Arial" w:cs="Arial"/>
          <w:color w:val="000000"/>
          <w:sz w:val="24"/>
          <w:szCs w:val="24"/>
        </w:rPr>
        <w:t>job</w:t>
      </w:r>
      <w:r w:rsidR="008D6FE7" w:rsidRPr="0065267C">
        <w:rPr>
          <w:rFonts w:ascii="Arial" w:hAnsi="Arial" w:cs="Arial"/>
          <w:color w:val="000000"/>
          <w:sz w:val="24"/>
          <w:szCs w:val="24"/>
        </w:rPr>
        <w:t>.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73952DD" w14:textId="77777777" w:rsidR="007B42F9" w:rsidRPr="00107D36" w:rsidRDefault="001355EA" w:rsidP="008D6F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65267C">
        <w:rPr>
          <w:rFonts w:ascii="Arial" w:hAnsi="Arial" w:cs="Arial"/>
          <w:b/>
          <w:color w:val="000000"/>
          <w:sz w:val="24"/>
          <w:szCs w:val="24"/>
        </w:rPr>
        <w:t>Organisational pay</w:t>
      </w:r>
      <w:r w:rsidRPr="0065267C">
        <w:rPr>
          <w:rFonts w:ascii="Arial" w:hAnsi="Arial" w:cs="Arial"/>
          <w:color w:val="000000"/>
          <w:sz w:val="24"/>
          <w:szCs w:val="24"/>
        </w:rPr>
        <w:t xml:space="preserve"> – what are other roles paid relative to this role?</w:t>
      </w:r>
      <w:r w:rsidR="008D6FE7" w:rsidRPr="00107D36">
        <w:rPr>
          <w:rFonts w:ascii="Arial" w:hAnsi="Arial" w:cs="Arial"/>
          <w:sz w:val="23"/>
          <w:szCs w:val="23"/>
        </w:rPr>
        <w:br/>
      </w:r>
    </w:p>
    <w:p w14:paraId="4D2CD35B" w14:textId="7BBE605E" w:rsidR="002D5E7A" w:rsidRPr="0065267C" w:rsidRDefault="007B42F9" w:rsidP="008D6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5267C">
        <w:rPr>
          <w:rFonts w:ascii="Arial" w:hAnsi="Arial" w:cs="Arial"/>
          <w:color w:val="000000"/>
        </w:rPr>
        <w:t>*</w:t>
      </w:r>
      <w:r w:rsidR="00BF78A9" w:rsidRPr="0065267C">
        <w:rPr>
          <w:rFonts w:ascii="Arial" w:hAnsi="Arial" w:cs="Arial"/>
          <w:color w:val="000000"/>
        </w:rPr>
        <w:t xml:space="preserve">NICVA’s social economy business Sector Matters </w:t>
      </w:r>
      <w:r w:rsidR="000728D1" w:rsidRPr="0065267C">
        <w:rPr>
          <w:rFonts w:ascii="Arial" w:hAnsi="Arial" w:cs="Arial"/>
          <w:color w:val="000000"/>
        </w:rPr>
        <w:t xml:space="preserve">offers </w:t>
      </w:r>
      <w:r w:rsidR="00BF78A9" w:rsidRPr="0065267C">
        <w:rPr>
          <w:rFonts w:ascii="Arial" w:hAnsi="Arial" w:cs="Arial"/>
          <w:color w:val="000000"/>
        </w:rPr>
        <w:t>a benchmarking service</w:t>
      </w:r>
      <w:r w:rsidRPr="0065267C">
        <w:rPr>
          <w:rFonts w:ascii="Arial" w:hAnsi="Arial" w:cs="Arial"/>
          <w:color w:val="000000"/>
        </w:rPr>
        <w:t>. I</w:t>
      </w:r>
      <w:r w:rsidR="00BF78A9" w:rsidRPr="0065267C">
        <w:rPr>
          <w:rFonts w:ascii="Arial" w:hAnsi="Arial" w:cs="Arial"/>
          <w:color w:val="000000"/>
        </w:rPr>
        <w:t>f you wish to find out more</w:t>
      </w:r>
      <w:r w:rsidR="009A3939" w:rsidRPr="0065267C">
        <w:rPr>
          <w:rFonts w:ascii="Arial" w:hAnsi="Arial" w:cs="Arial"/>
          <w:color w:val="000000"/>
        </w:rPr>
        <w:t>,</w:t>
      </w:r>
      <w:r w:rsidR="00BF78A9" w:rsidRPr="0065267C">
        <w:rPr>
          <w:rFonts w:ascii="Arial" w:hAnsi="Arial" w:cs="Arial"/>
          <w:color w:val="000000"/>
        </w:rPr>
        <w:t xml:space="preserve"> please contact </w:t>
      </w:r>
      <w:r w:rsidR="00C22E8A" w:rsidRPr="0065267C">
        <w:rPr>
          <w:rFonts w:ascii="Arial" w:hAnsi="Arial" w:cs="Arial"/>
          <w:color w:val="000000"/>
        </w:rPr>
        <w:t>Sector Mat</w:t>
      </w:r>
      <w:bookmarkStart w:id="0" w:name="_GoBack"/>
      <w:bookmarkEnd w:id="0"/>
      <w:r w:rsidR="00C22E8A" w:rsidRPr="0065267C">
        <w:rPr>
          <w:rFonts w:ascii="Arial" w:hAnsi="Arial" w:cs="Arial"/>
          <w:color w:val="000000"/>
        </w:rPr>
        <w:t xml:space="preserve">ters </w:t>
      </w:r>
      <w:r w:rsidR="00BF78A9" w:rsidRPr="0065267C">
        <w:rPr>
          <w:rFonts w:ascii="Arial" w:hAnsi="Arial" w:cs="Arial"/>
          <w:color w:val="000000"/>
        </w:rPr>
        <w:t>on 028 9087 5015.</w:t>
      </w:r>
      <w:r w:rsidRPr="0065267C">
        <w:rPr>
          <w:rFonts w:ascii="Arial" w:hAnsi="Arial" w:cs="Arial"/>
          <w:color w:val="000000"/>
        </w:rPr>
        <w:t xml:space="preserve"> </w:t>
      </w:r>
      <w:r w:rsidR="002D5E7A" w:rsidRPr="0065267C">
        <w:rPr>
          <w:rFonts w:ascii="Arial" w:hAnsi="Arial" w:cs="Arial"/>
          <w:b/>
          <w:color w:val="000000"/>
        </w:rPr>
        <w:br w:type="page"/>
      </w:r>
    </w:p>
    <w:p w14:paraId="19768994" w14:textId="77777777" w:rsidR="00150261" w:rsidRDefault="00150261" w:rsidP="00150261">
      <w:pPr>
        <w:spacing w:after="0"/>
      </w:pPr>
    </w:p>
    <w:p w14:paraId="7388A364" w14:textId="77777777" w:rsidR="00150261" w:rsidRDefault="00150261" w:rsidP="00150261">
      <w:pPr>
        <w:spacing w:after="0"/>
        <w:ind w:left="8172"/>
        <w:jc w:val="right"/>
      </w:pPr>
    </w:p>
    <w:tbl>
      <w:tblPr>
        <w:tblStyle w:val="TableGrid"/>
        <w:tblW w:w="7616" w:type="dxa"/>
        <w:jc w:val="center"/>
        <w:tblInd w:w="0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1162"/>
        <w:gridCol w:w="1242"/>
        <w:gridCol w:w="2036"/>
        <w:gridCol w:w="966"/>
        <w:gridCol w:w="1070"/>
        <w:gridCol w:w="1140"/>
      </w:tblGrid>
      <w:tr w:rsidR="00150261" w14:paraId="13038540" w14:textId="77777777" w:rsidTr="00150261">
        <w:trPr>
          <w:trHeight w:val="746"/>
          <w:jc w:val="center"/>
        </w:trPr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F12F1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 xml:space="preserve">SCP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921B5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b/>
                <w:sz w:val="20"/>
              </w:rPr>
              <w:t>1 April 2018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7F031B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A7014B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b/>
                <w:sz w:val="20"/>
              </w:rPr>
            </w:pPr>
          </w:p>
          <w:p w14:paraId="29E975F6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 April 2019</w:t>
            </w:r>
          </w:p>
          <w:p w14:paraId="7C5F1E6D" w14:textId="77777777" w:rsidR="00150261" w:rsidRDefault="00150261" w:rsidP="00150261">
            <w:pPr>
              <w:spacing w:line="259" w:lineRule="auto"/>
              <w:ind w:right="2"/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1F4769" w14:textId="77777777" w:rsidR="00150261" w:rsidRDefault="00150261" w:rsidP="00150261">
            <w:pPr>
              <w:spacing w:line="259" w:lineRule="auto"/>
              <w:ind w:left="19"/>
              <w:jc w:val="center"/>
            </w:pPr>
            <w:r>
              <w:rPr>
                <w:b/>
                <w:sz w:val="20"/>
              </w:rPr>
              <w:t>Old SCP[s]</w:t>
            </w:r>
          </w:p>
        </w:tc>
      </w:tr>
      <w:tr w:rsidR="00150261" w14:paraId="47BCE5D2" w14:textId="77777777" w:rsidTr="00150261">
        <w:trPr>
          <w:trHeight w:val="74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1BB6A1" w14:textId="77777777" w:rsidR="00150261" w:rsidRDefault="00150261" w:rsidP="00150261">
            <w:pPr>
              <w:spacing w:after="160" w:line="259" w:lineRule="auto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39F1D1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 xml:space="preserve">£ per </w:t>
            </w:r>
          </w:p>
          <w:p w14:paraId="54FEA2A9" w14:textId="77777777" w:rsidR="00150261" w:rsidRDefault="00150261" w:rsidP="00150261">
            <w:pPr>
              <w:spacing w:line="259" w:lineRule="auto"/>
              <w:ind w:left="211"/>
            </w:pPr>
            <w:r>
              <w:rPr>
                <w:b/>
                <w:sz w:val="20"/>
              </w:rPr>
              <w:t xml:space="preserve">annum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B30F07" w14:textId="77777777" w:rsidR="00150261" w:rsidRDefault="00150261" w:rsidP="00150261">
            <w:pPr>
              <w:spacing w:line="259" w:lineRule="auto"/>
              <w:ind w:left="214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544D05" w14:textId="77777777" w:rsidR="00150261" w:rsidRDefault="00150261" w:rsidP="00150261">
            <w:pPr>
              <w:spacing w:line="259" w:lineRule="auto"/>
              <w:ind w:left="214"/>
              <w:jc w:val="center"/>
            </w:pPr>
            <w:r>
              <w:rPr>
                <w:b/>
                <w:sz w:val="20"/>
              </w:rPr>
              <w:t>New SCP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1B8B9D" w14:textId="77777777" w:rsidR="00150261" w:rsidRDefault="00150261" w:rsidP="00150261">
            <w:pPr>
              <w:spacing w:line="259" w:lineRule="auto"/>
              <w:jc w:val="center"/>
            </w:pPr>
            <w:r>
              <w:rPr>
                <w:b/>
                <w:sz w:val="20"/>
              </w:rPr>
              <w:t xml:space="preserve">£ per </w:t>
            </w:r>
          </w:p>
          <w:p w14:paraId="37C7D4DC" w14:textId="77777777" w:rsidR="00150261" w:rsidRDefault="00150261" w:rsidP="00150261">
            <w:pPr>
              <w:spacing w:line="259" w:lineRule="auto"/>
              <w:ind w:left="40"/>
              <w:jc w:val="center"/>
            </w:pPr>
            <w:r>
              <w:rPr>
                <w:b/>
                <w:sz w:val="20"/>
              </w:rPr>
              <w:t xml:space="preserve">annum 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3DD910" w14:textId="77777777" w:rsidR="00150261" w:rsidRDefault="00150261" w:rsidP="00150261">
            <w:pPr>
              <w:spacing w:after="160" w:line="259" w:lineRule="auto"/>
            </w:pPr>
          </w:p>
        </w:tc>
      </w:tr>
      <w:tr w:rsidR="00150261" w14:paraId="670D3B2A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D2B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955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£16,394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64C22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1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38E6B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5F15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£17,364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9C05" w14:textId="77777777" w:rsidR="00150261" w:rsidRDefault="00150261" w:rsidP="00150261">
            <w:pPr>
              <w:spacing w:line="259" w:lineRule="auto"/>
              <w:jc w:val="center"/>
            </w:pPr>
            <w:r>
              <w:rPr>
                <w:sz w:val="20"/>
              </w:rPr>
              <w:t>6/7</w:t>
            </w:r>
          </w:p>
        </w:tc>
      </w:tr>
      <w:tr w:rsidR="00150261" w14:paraId="11DB6A42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A1D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5D15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£16,495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6FB7F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8BC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E6B7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331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5E33AA61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1615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EA1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£16,626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68FDF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41BE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E6CB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  <w:p w14:paraId="49EAF29B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£17,711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FD9F" w14:textId="77777777" w:rsidR="00150261" w:rsidRDefault="00150261" w:rsidP="00150261">
            <w:pPr>
              <w:spacing w:line="259" w:lineRule="auto"/>
              <w:jc w:val="center"/>
            </w:pPr>
            <w:r>
              <w:rPr>
                <w:sz w:val="20"/>
              </w:rPr>
              <w:t>8/9</w:t>
            </w:r>
          </w:p>
        </w:tc>
      </w:tr>
      <w:tr w:rsidR="00150261" w14:paraId="68BC894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4179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B0EB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£16,755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783237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31C9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C2A4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C028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3493BCB3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802E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2E71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£16,863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874B3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D416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3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40C3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  <w:p w14:paraId="5C1B3A8D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£18,065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1887" w14:textId="77777777" w:rsidR="00150261" w:rsidRDefault="00150261" w:rsidP="00150261">
            <w:pPr>
              <w:spacing w:line="259" w:lineRule="auto"/>
              <w:ind w:right="3"/>
              <w:jc w:val="center"/>
            </w:pPr>
            <w:r>
              <w:rPr>
                <w:sz w:val="20"/>
              </w:rPr>
              <w:t>10/11</w:t>
            </w:r>
          </w:p>
        </w:tc>
      </w:tr>
      <w:tr w:rsidR="00150261" w14:paraId="17824ADB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BAE7B6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757EBEF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£17,007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3032038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9F7C981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FA2672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A19FF6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58B24A6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66A8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697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£17,007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7C0690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2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95A2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4118" w14:textId="77777777" w:rsidR="00150261" w:rsidRPr="00E66117" w:rsidRDefault="00150261" w:rsidP="00150261">
            <w:pPr>
              <w:spacing w:line="259" w:lineRule="auto"/>
              <w:ind w:right="1"/>
              <w:jc w:val="center"/>
              <w:rPr>
                <w:sz w:val="20"/>
              </w:rPr>
            </w:pPr>
            <w:r w:rsidRPr="00E66117">
              <w:rPr>
                <w:sz w:val="20"/>
              </w:rPr>
              <w:t>£18,065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F601" w14:textId="77777777" w:rsidR="00150261" w:rsidRPr="00E66117" w:rsidRDefault="00150261" w:rsidP="00150261">
            <w:pPr>
              <w:spacing w:line="259" w:lineRule="auto"/>
              <w:ind w:right="1"/>
              <w:jc w:val="center"/>
              <w:rPr>
                <w:sz w:val="20"/>
              </w:rPr>
            </w:pPr>
            <w:r w:rsidRPr="00E66117">
              <w:rPr>
                <w:sz w:val="20"/>
              </w:rPr>
              <w:t>10/11</w:t>
            </w:r>
          </w:p>
          <w:p w14:paraId="5AC87EB8" w14:textId="77777777" w:rsidR="00150261" w:rsidRPr="00E66117" w:rsidRDefault="00150261" w:rsidP="00150261">
            <w:pPr>
              <w:spacing w:line="259" w:lineRule="auto"/>
              <w:ind w:right="1"/>
              <w:jc w:val="center"/>
              <w:rPr>
                <w:sz w:val="20"/>
              </w:rPr>
            </w:pPr>
          </w:p>
        </w:tc>
      </w:tr>
      <w:tr w:rsidR="00150261" w14:paraId="0BBFDA66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C4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AA9E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£17,173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D414B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C88B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4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3E5B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  <w:p w14:paraId="50051C4C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£18,426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7762" w14:textId="77777777" w:rsidR="00150261" w:rsidRDefault="00150261" w:rsidP="00150261">
            <w:pPr>
              <w:spacing w:line="259" w:lineRule="auto"/>
              <w:ind w:right="3"/>
              <w:jc w:val="center"/>
            </w:pPr>
            <w:r>
              <w:rPr>
                <w:sz w:val="20"/>
              </w:rPr>
              <w:t>12/13</w:t>
            </w:r>
          </w:p>
        </w:tc>
      </w:tr>
      <w:tr w:rsidR="00150261" w14:paraId="38BB1425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A2A2ED4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536890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£17,391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DDF2537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A3A511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006135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9DF48A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050BB35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AA4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5F26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£17,681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9EFF0E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3</w:t>
            </w:r>
          </w:p>
        </w:tc>
        <w:tc>
          <w:tcPr>
            <w:tcW w:w="966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BBC83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5</w:t>
            </w:r>
          </w:p>
        </w:tc>
        <w:tc>
          <w:tcPr>
            <w:tcW w:w="107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D450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  <w:p w14:paraId="2DBD0264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£18,795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7D96" w14:textId="77777777" w:rsidR="00150261" w:rsidRDefault="00150261" w:rsidP="00150261">
            <w:pPr>
              <w:spacing w:line="259" w:lineRule="auto"/>
              <w:ind w:right="3"/>
              <w:jc w:val="center"/>
            </w:pPr>
            <w:r>
              <w:rPr>
                <w:sz w:val="20"/>
              </w:rPr>
              <w:t>14/15</w:t>
            </w:r>
          </w:p>
        </w:tc>
      </w:tr>
      <w:tr w:rsidR="00150261" w14:paraId="083BED64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E8C1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F228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£17,972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BAB4A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3004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E64A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80BE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26DE813C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CC2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B2B1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£18,319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2E9C5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109F" w14:textId="77777777" w:rsidR="00150261" w:rsidRPr="008F223F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8F223F">
              <w:rPr>
                <w:b/>
                <w:sz w:val="20"/>
              </w:rPr>
              <w:t>6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6685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</w:p>
          <w:p w14:paraId="73D2F672" w14:textId="77777777" w:rsidR="00150261" w:rsidRPr="008F223F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£19,171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7676" w14:textId="77777777" w:rsidR="00150261" w:rsidRDefault="00150261" w:rsidP="00150261">
            <w:pPr>
              <w:spacing w:line="259" w:lineRule="auto"/>
              <w:ind w:right="3"/>
              <w:jc w:val="center"/>
            </w:pPr>
            <w:r>
              <w:rPr>
                <w:sz w:val="20"/>
              </w:rPr>
              <w:t>16/17</w:t>
            </w:r>
          </w:p>
        </w:tc>
      </w:tr>
      <w:tr w:rsidR="00150261" w14:paraId="26AF27F8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1091B8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3B31F27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£18,672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9BEF6CD" w14:textId="77777777" w:rsidR="00150261" w:rsidRDefault="00150261" w:rsidP="00150261">
            <w:pPr>
              <w:spacing w:after="160" w:line="259" w:lineRule="auto"/>
              <w:jc w:val="center"/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0F1C4C" w14:textId="77777777" w:rsidR="00150261" w:rsidRDefault="00150261" w:rsidP="00150261">
            <w:pPr>
              <w:spacing w:after="160" w:line="259" w:lineRule="auto"/>
              <w:jc w:val="center"/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BD52F9" w14:textId="77777777" w:rsidR="00150261" w:rsidRDefault="00150261" w:rsidP="00150261">
            <w:pPr>
              <w:spacing w:after="160" w:line="259" w:lineRule="auto"/>
              <w:jc w:val="center"/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24D93F" w14:textId="77777777" w:rsidR="00150261" w:rsidRDefault="00150261" w:rsidP="00150261">
            <w:pPr>
              <w:spacing w:after="160" w:line="259" w:lineRule="auto"/>
              <w:jc w:val="center"/>
            </w:pPr>
          </w:p>
        </w:tc>
      </w:tr>
      <w:tr w:rsidR="00150261" w14:paraId="78D47B34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605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47E3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£18,870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7AA08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4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624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ABE9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£19,554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D266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18</w:t>
            </w:r>
          </w:p>
        </w:tc>
      </w:tr>
      <w:tr w:rsidR="00150261" w14:paraId="39900E69" w14:textId="77777777" w:rsidTr="00150261">
        <w:trPr>
          <w:trHeight w:val="339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662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1EDF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£19,446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7FAAD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207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2C5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£19,945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EF7A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19</w:t>
            </w:r>
          </w:p>
        </w:tc>
      </w:tr>
      <w:tr w:rsidR="00150261" w14:paraId="748993DA" w14:textId="77777777" w:rsidTr="00150261">
        <w:trPr>
          <w:trHeight w:val="342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ABFB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438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£19,819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5A1BC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7785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1B6F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£20,344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D4D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20</w:t>
            </w:r>
          </w:p>
        </w:tc>
      </w:tr>
      <w:tr w:rsidR="00150261" w14:paraId="2A0709A6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A0D14" w14:textId="77777777" w:rsidR="00150261" w:rsidRDefault="00150261" w:rsidP="00150261">
            <w:pPr>
              <w:spacing w:line="259" w:lineRule="auto"/>
              <w:ind w:left="53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48DE8" w14:textId="77777777" w:rsidR="00150261" w:rsidRDefault="00150261" w:rsidP="00150261">
            <w:pPr>
              <w:spacing w:line="259" w:lineRule="auto"/>
              <w:ind w:left="55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4EEB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0959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6283" w14:textId="77777777" w:rsidR="00150261" w:rsidRDefault="00150261" w:rsidP="00150261">
            <w:pPr>
              <w:spacing w:line="259" w:lineRule="auto"/>
              <w:ind w:right="3"/>
              <w:jc w:val="center"/>
            </w:pPr>
            <w:r>
              <w:rPr>
                <w:sz w:val="20"/>
              </w:rPr>
              <w:t>£20,751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E62ADC" w14:textId="77777777" w:rsidR="00150261" w:rsidRDefault="00150261" w:rsidP="00150261">
            <w:pPr>
              <w:spacing w:line="259" w:lineRule="auto"/>
              <w:ind w:left="57"/>
              <w:jc w:val="center"/>
            </w:pPr>
          </w:p>
        </w:tc>
      </w:tr>
      <w:tr w:rsidR="00150261" w14:paraId="136D8778" w14:textId="77777777" w:rsidTr="00150261">
        <w:trPr>
          <w:trHeight w:val="340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B09E2F8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5530BD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£20,541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3BAB2F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2312E6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98DFD1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£21,166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CF1BE2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21</w:t>
            </w:r>
          </w:p>
        </w:tc>
      </w:tr>
      <w:tr w:rsidR="00150261" w14:paraId="5D7E58A3" w14:textId="77777777" w:rsidTr="00150261">
        <w:trPr>
          <w:trHeight w:val="342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C51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5254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£21,074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7657B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5409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B27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£21,589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46DD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22</w:t>
            </w:r>
          </w:p>
        </w:tc>
      </w:tr>
      <w:tr w:rsidR="00150261" w14:paraId="6FD2979C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B4293" w14:textId="77777777" w:rsidR="00150261" w:rsidRDefault="00150261" w:rsidP="00150261">
            <w:pPr>
              <w:spacing w:line="259" w:lineRule="auto"/>
              <w:ind w:left="53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D5E7AE" w14:textId="77777777" w:rsidR="00150261" w:rsidRDefault="00150261" w:rsidP="00150261">
            <w:pPr>
              <w:spacing w:line="259" w:lineRule="auto"/>
              <w:ind w:left="55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5D5B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2066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F578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£22,021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2DE5B9" w14:textId="77777777" w:rsidR="00150261" w:rsidRDefault="00150261" w:rsidP="00150261">
            <w:pPr>
              <w:spacing w:line="259" w:lineRule="auto"/>
              <w:ind w:left="57"/>
              <w:jc w:val="center"/>
            </w:pPr>
          </w:p>
        </w:tc>
      </w:tr>
      <w:tr w:rsidR="00150261" w14:paraId="72746122" w14:textId="77777777" w:rsidTr="00150261">
        <w:trPr>
          <w:trHeight w:val="340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EB8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0D35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£21,693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95878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987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02B0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£22,462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F979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23</w:t>
            </w:r>
          </w:p>
        </w:tc>
      </w:tr>
      <w:tr w:rsidR="00150261" w14:paraId="45874F7D" w14:textId="77777777" w:rsidTr="00150261">
        <w:trPr>
          <w:trHeight w:val="342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4ECF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45F9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£22,401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C3526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EEE4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4C83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£22,911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376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24</w:t>
            </w:r>
          </w:p>
        </w:tc>
      </w:tr>
      <w:tr w:rsidR="00150261" w14:paraId="235194B1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13C08" w14:textId="77777777" w:rsidR="00150261" w:rsidRDefault="00150261" w:rsidP="00150261">
            <w:pPr>
              <w:spacing w:line="259" w:lineRule="auto"/>
              <w:ind w:left="53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690601" w14:textId="77777777" w:rsidR="00150261" w:rsidRDefault="00150261" w:rsidP="00150261">
            <w:pPr>
              <w:spacing w:line="259" w:lineRule="auto"/>
              <w:ind w:left="55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81B06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73A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53B1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£23,369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4A8EB6" w14:textId="77777777" w:rsidR="00150261" w:rsidRDefault="00150261" w:rsidP="00150261">
            <w:pPr>
              <w:spacing w:line="259" w:lineRule="auto"/>
              <w:ind w:left="57"/>
              <w:jc w:val="center"/>
            </w:pPr>
          </w:p>
        </w:tc>
      </w:tr>
      <w:tr w:rsidR="00150261" w14:paraId="7F1ACBA4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C2031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FDA3C9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£23,111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981175C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869E6E3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1CB4A5C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£23,836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EF09898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25</w:t>
            </w:r>
          </w:p>
        </w:tc>
      </w:tr>
      <w:tr w:rsidR="00150261" w14:paraId="4B0FF662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035D45" w14:textId="77777777" w:rsidR="00150261" w:rsidRDefault="00150261" w:rsidP="00150261">
            <w:pPr>
              <w:spacing w:line="259" w:lineRule="auto"/>
              <w:ind w:left="53"/>
              <w:jc w:val="center"/>
            </w:pP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1E024D" w14:textId="77777777" w:rsidR="00150261" w:rsidRDefault="00150261" w:rsidP="00150261">
            <w:pPr>
              <w:spacing w:line="259" w:lineRule="auto"/>
              <w:ind w:left="55"/>
              <w:jc w:val="center"/>
            </w:pP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4AFC79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SCALE 6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5FC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73D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£24,313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7E66F" w14:textId="77777777" w:rsidR="00150261" w:rsidRDefault="00150261" w:rsidP="00150261">
            <w:pPr>
              <w:spacing w:line="259" w:lineRule="auto"/>
              <w:ind w:left="57"/>
              <w:jc w:val="center"/>
            </w:pPr>
          </w:p>
        </w:tc>
      </w:tr>
      <w:tr w:rsidR="00150261" w14:paraId="5C39A527" w14:textId="77777777" w:rsidTr="00150261">
        <w:trPr>
          <w:trHeight w:val="342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E112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56B7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£23,866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88E4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792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369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£24,799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FD92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26</w:t>
            </w:r>
          </w:p>
        </w:tc>
      </w:tr>
      <w:tr w:rsidR="00150261" w14:paraId="2D3A01DB" w14:textId="77777777" w:rsidTr="00150261">
        <w:trPr>
          <w:trHeight w:val="340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E37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5DAD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£24,657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98A72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EDA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9B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£25,295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B2D9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27</w:t>
            </w:r>
          </w:p>
        </w:tc>
      </w:tr>
      <w:tr w:rsidR="00150261" w14:paraId="2BCD7F84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5EBED" w14:textId="77777777" w:rsidR="00150261" w:rsidRDefault="00150261" w:rsidP="00150261">
            <w:pPr>
              <w:spacing w:line="259" w:lineRule="auto"/>
              <w:ind w:left="53"/>
              <w:jc w:val="center"/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18B3DF" w14:textId="77777777" w:rsidR="00150261" w:rsidRDefault="00150261" w:rsidP="00150261">
            <w:pPr>
              <w:spacing w:line="259" w:lineRule="auto"/>
              <w:ind w:left="55"/>
              <w:jc w:val="center"/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B94483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088B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83C1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£25,801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8552FD" w14:textId="77777777" w:rsidR="00150261" w:rsidRDefault="00150261" w:rsidP="00150261">
            <w:pPr>
              <w:spacing w:line="259" w:lineRule="auto"/>
              <w:ind w:left="57"/>
              <w:jc w:val="center"/>
            </w:pPr>
          </w:p>
        </w:tc>
      </w:tr>
      <w:tr w:rsidR="00150261" w14:paraId="4AE8B6C4" w14:textId="77777777" w:rsidTr="00150261">
        <w:trPr>
          <w:trHeight w:val="342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A1A8FF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DD0166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£25,463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8B79D3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3CD7057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5B8788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£26,317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6B42A6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28</w:t>
            </w:r>
          </w:p>
        </w:tc>
      </w:tr>
      <w:tr w:rsidR="00150261" w14:paraId="52F3B2B1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C96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C91A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£26,470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639F6B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  <w:p w14:paraId="5FE7B5D1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 1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0CF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F543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£26,999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03C1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29</w:t>
            </w:r>
          </w:p>
        </w:tc>
      </w:tr>
      <w:tr w:rsidR="00150261" w14:paraId="1897A0CB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174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E21F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£27,358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A7A01" w14:textId="77777777" w:rsidR="00150261" w:rsidRPr="00D54E02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61C9" w14:textId="77777777" w:rsidR="00150261" w:rsidRPr="00D54E02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D54E02">
              <w:rPr>
                <w:b/>
                <w:sz w:val="20"/>
              </w:rPr>
              <w:t>24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BA9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£27,905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84F5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30</w:t>
            </w:r>
          </w:p>
        </w:tc>
      </w:tr>
      <w:tr w:rsidR="00150261" w14:paraId="0233AF72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0053E8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9F9BB0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£28,221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246F74" w14:textId="77777777" w:rsidR="00150261" w:rsidRPr="00D54E02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D477AE" w14:textId="77777777" w:rsidR="00150261" w:rsidRPr="00D54E02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 w:rsidRPr="00D54E02">
              <w:rPr>
                <w:b/>
                <w:sz w:val="20"/>
              </w:rPr>
              <w:t>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7000D14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£28,785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8027AF4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31</w:t>
            </w:r>
          </w:p>
        </w:tc>
      </w:tr>
      <w:tr w:rsidR="00150261" w14:paraId="5E135628" w14:textId="77777777" w:rsidTr="00150261">
        <w:trPr>
          <w:trHeight w:val="339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2D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5F79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£29,055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F295B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 2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C236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4997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£29,636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F3A2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32</w:t>
            </w:r>
          </w:p>
        </w:tc>
      </w:tr>
      <w:tr w:rsidR="00150261" w14:paraId="23B33DF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213D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96F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£29,909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23A9D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50D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C7C2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£30,507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464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33</w:t>
            </w:r>
          </w:p>
        </w:tc>
      </w:tr>
      <w:tr w:rsidR="00150261" w14:paraId="59F3DCEC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5E25EC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CE190BE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£30,756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47ACA34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ABE610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EA5BDFD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£31,371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768C5F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34</w:t>
            </w:r>
          </w:p>
        </w:tc>
      </w:tr>
      <w:tr w:rsidR="00150261" w14:paraId="366D363F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1D5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FACE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£29,909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33AD70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PO1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497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4EB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£30,507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0D3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33</w:t>
            </w:r>
          </w:p>
        </w:tc>
      </w:tr>
      <w:tr w:rsidR="00150261" w14:paraId="267E6E0D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CF54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8515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£30,756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A5FF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E27E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275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£31,371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67EB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150261" w14:paraId="61125D5E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ADBB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C3F0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£31,401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AA255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700B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5AF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£32,029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C53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50261" w14:paraId="1C240D54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94CA99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F2D1531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£32,233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F92C8D4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D2F2031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3F2D3F6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£32,878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5BA6E3E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36</w:t>
            </w:r>
          </w:p>
        </w:tc>
      </w:tr>
      <w:tr w:rsidR="00150261" w14:paraId="4A27EB4E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9F6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EFEC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£31,401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42E422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PO2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6B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2F75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£32,029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7052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 w:rsidR="00150261" w14:paraId="00FD83B0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F04A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8BC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£32,233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025E4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949D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1D62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£32,878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03FA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150261" w14:paraId="57DC3C00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9FC7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88B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£33,136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AEB20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1F24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6CF0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£33,799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0A42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37</w:t>
            </w:r>
          </w:p>
        </w:tc>
      </w:tr>
      <w:tr w:rsidR="00150261" w14:paraId="4AD0A74E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6F6A46B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0E5D3C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£34,106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1BA1C2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197CF3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DB3838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£34,788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0869D3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38</w:t>
            </w:r>
          </w:p>
        </w:tc>
      </w:tr>
      <w:tr w:rsidR="00150261" w14:paraId="36F8C7D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B81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6A7A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£34,106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31C9A0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PO3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9FA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6744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£34,788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87AD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38</w:t>
            </w:r>
          </w:p>
        </w:tc>
      </w:tr>
      <w:tr w:rsidR="00150261" w14:paraId="7E4CBAF9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8F8E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F063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£35,229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C97A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258C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5459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£35,934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C75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 w:rsidR="00150261" w14:paraId="5EC144BB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E4AE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BBA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£36,153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3C335B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FA29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10A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£36,876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A4AD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40</w:t>
            </w:r>
          </w:p>
        </w:tc>
      </w:tr>
      <w:tr w:rsidR="00150261" w14:paraId="4664D728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776A981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E517F18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£37,107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785B5A0" w14:textId="77777777" w:rsidR="00150261" w:rsidRDefault="00150261" w:rsidP="00150261">
            <w:pPr>
              <w:spacing w:line="259" w:lineRule="auto"/>
              <w:ind w:righ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F95A945" w14:textId="77777777" w:rsidR="00150261" w:rsidRDefault="00150261" w:rsidP="00150261">
            <w:pPr>
              <w:spacing w:line="259" w:lineRule="auto"/>
              <w:ind w:right="1"/>
              <w:jc w:val="center"/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8B9682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£37,849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9B5EC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41</w:t>
            </w:r>
          </w:p>
        </w:tc>
      </w:tr>
      <w:tr w:rsidR="00150261" w14:paraId="581EAAC2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EAC1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C40E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£37,107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8E340A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PO4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2D23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8D2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£37,849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F9B6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150261" w14:paraId="04E7F14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C731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8029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£38,052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08B2C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EE7F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456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£38,813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702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42</w:t>
            </w:r>
          </w:p>
        </w:tc>
      </w:tr>
      <w:tr w:rsidR="00150261" w14:paraId="2C4012F4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2569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1272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£39,002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18F6E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5E14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0D7E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£39,782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7BA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43</w:t>
            </w:r>
          </w:p>
        </w:tc>
      </w:tr>
      <w:tr w:rsidR="00150261" w14:paraId="7AAB2DEF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123DFF3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5347CA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£39,961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DF5FA68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944272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C5E102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£40,760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C560283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44</w:t>
            </w:r>
          </w:p>
        </w:tc>
      </w:tr>
      <w:tr w:rsidR="00150261" w14:paraId="59BE1B56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B92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5952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£39,961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23A236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PO5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E289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7158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£40,760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1311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150261" w14:paraId="09FAF684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9DE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D282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£40,858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2A9E9D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1A1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82E0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£41,675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BDB6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45</w:t>
            </w:r>
          </w:p>
        </w:tc>
      </w:tr>
      <w:tr w:rsidR="00150261" w14:paraId="17E97497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E21E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3A1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£41,846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675B5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215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5DF5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£42,683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6370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46</w:t>
            </w:r>
          </w:p>
        </w:tc>
      </w:tr>
      <w:tr w:rsidR="00150261" w14:paraId="3BCD4B43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22A8178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B5D6C5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£42,806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FD3F46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B7135FF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31621C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£43,662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E8DAA5C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47</w:t>
            </w:r>
          </w:p>
        </w:tc>
      </w:tr>
      <w:tr w:rsidR="00150261" w14:paraId="4249C496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19E3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FD6B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£41,846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14D78D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PO6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025B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377F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£42,683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E632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 w:rsidR="00150261" w14:paraId="02C3B745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77FB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656C" w14:textId="77777777" w:rsidR="00150261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£42,806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EC730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4618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F65" w14:textId="77777777" w:rsidR="00150261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£43,662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5D3C" w14:textId="77777777" w:rsidR="00150261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 w:rsidR="00150261" w14:paraId="5E6EECD6" w14:textId="77777777" w:rsidTr="00150261">
        <w:trPr>
          <w:trHeight w:val="341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77D5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EED7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£43,757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E6B06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9282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4A16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£44,632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050F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48</w:t>
            </w:r>
          </w:p>
        </w:tc>
      </w:tr>
      <w:tr w:rsidR="00150261" w14:paraId="4A6B32DD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80A628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2733342" w14:textId="77777777" w:rsidR="00150261" w:rsidRDefault="00150261" w:rsidP="00150261">
            <w:pPr>
              <w:spacing w:line="259" w:lineRule="auto"/>
              <w:ind w:left="178"/>
              <w:jc w:val="center"/>
            </w:pPr>
            <w:r>
              <w:rPr>
                <w:sz w:val="20"/>
              </w:rPr>
              <w:t>£44,697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88245F0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C1F5A9" w14:textId="77777777" w:rsidR="00150261" w:rsidRDefault="00150261" w:rsidP="00150261">
            <w:pPr>
              <w:spacing w:line="259" w:lineRule="auto"/>
              <w:ind w:left="1"/>
              <w:jc w:val="center"/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3FA1654" w14:textId="77777777" w:rsidR="00150261" w:rsidRDefault="00150261" w:rsidP="00150261">
            <w:pPr>
              <w:spacing w:line="259" w:lineRule="auto"/>
              <w:ind w:left="180"/>
              <w:jc w:val="center"/>
            </w:pPr>
            <w:r>
              <w:rPr>
                <w:sz w:val="20"/>
              </w:rPr>
              <w:t>£45,591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378EBA" w14:textId="77777777" w:rsidR="00150261" w:rsidRDefault="00150261" w:rsidP="00150261">
            <w:pPr>
              <w:spacing w:line="259" w:lineRule="auto"/>
              <w:ind w:right="2"/>
              <w:jc w:val="center"/>
            </w:pPr>
            <w:r>
              <w:rPr>
                <w:sz w:val="20"/>
              </w:rPr>
              <w:t>49</w:t>
            </w:r>
          </w:p>
        </w:tc>
      </w:tr>
      <w:tr w:rsidR="00150261" w14:paraId="2B41D2F9" w14:textId="77777777" w:rsidTr="00150261">
        <w:trPr>
          <w:trHeight w:val="762"/>
          <w:jc w:val="center"/>
        </w:trPr>
        <w:tc>
          <w:tcPr>
            <w:tcW w:w="7616" w:type="dxa"/>
            <w:gridSpan w:val="6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8B1218" w14:textId="3DFD6410" w:rsidR="00150261" w:rsidRPr="00AF4EFF" w:rsidRDefault="00150261" w:rsidP="00150261">
            <w:pPr>
              <w:spacing w:line="259" w:lineRule="auto"/>
              <w:jc w:val="center"/>
            </w:pPr>
            <w:r w:rsidRPr="00C15A74">
              <w:rPr>
                <w:b/>
                <w:sz w:val="23"/>
              </w:rPr>
              <w:lastRenderedPageBreak/>
              <w:t>NJC pay points stop at point 4</w:t>
            </w:r>
            <w:r>
              <w:rPr>
                <w:b/>
                <w:sz w:val="23"/>
              </w:rPr>
              <w:t>3</w:t>
            </w:r>
            <w:r w:rsidRPr="00C15A74">
              <w:rPr>
                <w:b/>
                <w:sz w:val="23"/>
              </w:rPr>
              <w:t>.  NICVA and some local council scales go up to po</w:t>
            </w:r>
            <w:r>
              <w:rPr>
                <w:b/>
                <w:sz w:val="23"/>
              </w:rPr>
              <w:t>i</w:t>
            </w:r>
            <w:r w:rsidRPr="00C15A74">
              <w:rPr>
                <w:b/>
                <w:sz w:val="23"/>
              </w:rPr>
              <w:t>nt 65.  These are for guidance only.</w:t>
            </w:r>
          </w:p>
        </w:tc>
      </w:tr>
      <w:tr w:rsidR="00150261" w14:paraId="36CE21D1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7366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DAD6" w14:textId="77777777" w:rsidR="00150261" w:rsidRPr="005678BE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£44,697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3201DB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PO7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1EA6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BC51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>
              <w:rPr>
                <w:sz w:val="20"/>
              </w:rPr>
              <w:t>£45,591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4C7C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150261" w14:paraId="61B63B63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1091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42A5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>
              <w:rPr>
                <w:sz w:val="20"/>
              </w:rPr>
              <w:t>£45,652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5A814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F5EF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B699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£46,565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178D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50</w:t>
            </w:r>
          </w:p>
        </w:tc>
      </w:tr>
      <w:tr w:rsidR="00150261" w14:paraId="58A7B418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2387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E5C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£46,608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9E1BA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58266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85720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£47,540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38D3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51</w:t>
            </w:r>
          </w:p>
        </w:tc>
      </w:tr>
      <w:tr w:rsidR="00150261" w14:paraId="35D627E3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B4D476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847813F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£47,578</w:t>
            </w:r>
          </w:p>
        </w:tc>
        <w:tc>
          <w:tcPr>
            <w:tcW w:w="2036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A36013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D95EB7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13741D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£48,529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5A4A03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52</w:t>
            </w:r>
          </w:p>
        </w:tc>
      </w:tr>
      <w:tr w:rsidR="00150261" w14:paraId="68DFB165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FE49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3A04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£47,578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82AA343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PO8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2C2F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0807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£48,529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F3F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52</w:t>
            </w:r>
          </w:p>
        </w:tc>
      </w:tr>
      <w:tr w:rsidR="00150261" w14:paraId="7FE5ECE4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63E7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8A8F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£48,555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2E4A2C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32A2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309D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£49,526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E6FB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53</w:t>
            </w:r>
          </w:p>
        </w:tc>
      </w:tr>
      <w:tr w:rsidR="00150261" w14:paraId="62A3EFA8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2BDF27F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C0CBBCB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£49,575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8D236D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94EDC7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072DBB0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£50,567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62B419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54</w:t>
            </w:r>
          </w:p>
        </w:tc>
      </w:tr>
      <w:tr w:rsidR="00150261" w14:paraId="6BE68194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F24C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54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2785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£49,575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FBA1852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PO9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D722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08EB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£50,567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09D8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54</w:t>
            </w:r>
          </w:p>
        </w:tc>
      </w:tr>
      <w:tr w:rsidR="00150261" w14:paraId="21E79969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EA01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D6BE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£50,617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12192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C31F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3102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£51,630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1521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55</w:t>
            </w:r>
          </w:p>
        </w:tc>
      </w:tr>
      <w:tr w:rsidR="00150261" w14:paraId="47ACAA72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5E3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003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£51,648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F382A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A4CF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7549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£52,681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546E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56</w:t>
            </w:r>
          </w:p>
        </w:tc>
      </w:tr>
      <w:tr w:rsidR="00150261" w14:paraId="7F2166D2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13B0E1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757CEE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£52,674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246A475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B1FE8DC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234F6EC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£53,727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F17BA6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57</w:t>
            </w:r>
          </w:p>
        </w:tc>
      </w:tr>
      <w:tr w:rsidR="00150261" w14:paraId="2A693D0F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D20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57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11C3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£52,674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9B1373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PO10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F680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44D9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£53,727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0316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57</w:t>
            </w:r>
          </w:p>
        </w:tc>
      </w:tr>
      <w:tr w:rsidR="00150261" w14:paraId="3706ECA6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28AA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CEC9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£53,701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5C45F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31B3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AEB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£54,775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4983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58</w:t>
            </w:r>
          </w:p>
        </w:tc>
      </w:tr>
      <w:tr w:rsidR="00150261" w14:paraId="61C13E9F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FC7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59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61A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£54,725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9D783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D117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39F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£55,820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2A15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59</w:t>
            </w:r>
          </w:p>
        </w:tc>
      </w:tr>
      <w:tr w:rsidR="00150261" w14:paraId="6B8D58BD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8C462F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96D4C8C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£55,743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11E57AD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163FE5" w14:textId="77777777" w:rsidR="00150261" w:rsidRPr="00E97A72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49E08EF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£56,858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DC9A35F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60</w:t>
            </w:r>
          </w:p>
        </w:tc>
      </w:tr>
      <w:tr w:rsidR="00150261" w14:paraId="332FFB2A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33C9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60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79DE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£55,743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24F6F1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PO11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455A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8AAD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£56,858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E7CA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60</w:t>
            </w:r>
          </w:p>
        </w:tc>
      </w:tr>
      <w:tr w:rsidR="00150261" w14:paraId="2E39D58A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385F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849B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£56,768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9FDF5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7D11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BF95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£57,903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8C4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61</w:t>
            </w:r>
          </w:p>
        </w:tc>
      </w:tr>
      <w:tr w:rsidR="00150261" w14:paraId="62FE1710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CE8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9EF3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£57,806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92B50D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BFB0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A877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£58,963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BBCA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62</w:t>
            </w:r>
          </w:p>
        </w:tc>
      </w:tr>
      <w:tr w:rsidR="00150261" w14:paraId="35E4A402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C7A31E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99BBA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£58,844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6802A4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33A1FC6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7E1D2BD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£60,021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D5E4E0A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63</w:t>
            </w:r>
          </w:p>
        </w:tc>
      </w:tr>
      <w:tr w:rsidR="00150261" w14:paraId="18FA9019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BA6B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62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5E9B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£57,806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0DA41F0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PO12</w:t>
            </w:r>
          </w:p>
        </w:tc>
        <w:tc>
          <w:tcPr>
            <w:tcW w:w="96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80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4756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£58,963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A36E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62</w:t>
            </w:r>
          </w:p>
        </w:tc>
      </w:tr>
      <w:tr w:rsidR="00150261" w14:paraId="5A22B5D6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E074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63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A604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£58,844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6EC87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C14C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AAD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£60,021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F0F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63</w:t>
            </w:r>
          </w:p>
        </w:tc>
      </w:tr>
      <w:tr w:rsidR="00150261" w14:paraId="6B020E6E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875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64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F1B2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£59,859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8EE30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9972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58B9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£61,056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6E6C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64</w:t>
            </w:r>
          </w:p>
        </w:tc>
      </w:tr>
      <w:tr w:rsidR="00150261" w14:paraId="3744B31C" w14:textId="77777777" w:rsidTr="00150261">
        <w:trPr>
          <w:trHeight w:val="338"/>
          <w:jc w:val="center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F09310" w14:textId="77777777" w:rsidR="00150261" w:rsidRPr="005678BE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 w:rsidRPr="005678BE">
              <w:rPr>
                <w:b/>
                <w:sz w:val="20"/>
              </w:rPr>
              <w:t>65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046A574" w14:textId="77777777" w:rsidR="00150261" w:rsidRPr="00E97A72" w:rsidRDefault="00150261" w:rsidP="00150261">
            <w:pPr>
              <w:spacing w:line="259" w:lineRule="auto"/>
              <w:ind w:left="178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£60,892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462869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B8912BF" w14:textId="77777777" w:rsidR="00150261" w:rsidRDefault="00150261" w:rsidP="00150261">
            <w:pPr>
              <w:spacing w:line="259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4A0F19F" w14:textId="77777777" w:rsidR="00150261" w:rsidRPr="00E97A72" w:rsidRDefault="00150261" w:rsidP="00150261">
            <w:pPr>
              <w:spacing w:line="259" w:lineRule="auto"/>
              <w:ind w:left="180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£62,110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D621821" w14:textId="77777777" w:rsidR="00150261" w:rsidRPr="00E97A72" w:rsidRDefault="00150261" w:rsidP="00150261">
            <w:pPr>
              <w:spacing w:line="259" w:lineRule="auto"/>
              <w:ind w:right="2"/>
              <w:jc w:val="center"/>
              <w:rPr>
                <w:sz w:val="20"/>
              </w:rPr>
            </w:pPr>
            <w:r w:rsidRPr="00E97A72">
              <w:rPr>
                <w:sz w:val="20"/>
              </w:rPr>
              <w:t>65</w:t>
            </w:r>
          </w:p>
        </w:tc>
      </w:tr>
    </w:tbl>
    <w:p w14:paraId="6197FC3B" w14:textId="77777777" w:rsidR="00150261" w:rsidRDefault="00150261" w:rsidP="00150261">
      <w:pPr>
        <w:spacing w:after="0"/>
        <w:jc w:val="center"/>
      </w:pPr>
    </w:p>
    <w:p w14:paraId="1EB45314" w14:textId="77777777" w:rsidR="00150261" w:rsidRDefault="00150261" w:rsidP="00150261">
      <w:pPr>
        <w:spacing w:after="0"/>
      </w:pPr>
    </w:p>
    <w:p w14:paraId="78F107CE" w14:textId="77777777" w:rsidR="0025411B" w:rsidRPr="00D06BEA" w:rsidRDefault="0025411B" w:rsidP="008D6FE7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sectPr w:rsidR="0025411B" w:rsidRPr="00D06BE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F1EF5" w14:textId="77777777" w:rsidR="00150261" w:rsidRDefault="00150261" w:rsidP="002D5E7A">
      <w:pPr>
        <w:spacing w:after="0" w:line="240" w:lineRule="auto"/>
      </w:pPr>
      <w:r>
        <w:separator/>
      </w:r>
    </w:p>
  </w:endnote>
  <w:endnote w:type="continuationSeparator" w:id="0">
    <w:p w14:paraId="040023DF" w14:textId="77777777" w:rsidR="00150261" w:rsidRDefault="00150261" w:rsidP="002D5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918133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07BB2B1" w14:textId="77777777" w:rsidR="00150261" w:rsidRPr="00D06BEA" w:rsidRDefault="00150261">
        <w:pPr>
          <w:pStyle w:val="Footer"/>
          <w:jc w:val="right"/>
          <w:rPr>
            <w:rFonts w:ascii="Arial" w:hAnsi="Arial" w:cs="Arial"/>
          </w:rPr>
        </w:pPr>
        <w:r w:rsidRPr="00D06BEA">
          <w:rPr>
            <w:rFonts w:ascii="Arial" w:hAnsi="Arial" w:cs="Arial"/>
          </w:rPr>
          <w:fldChar w:fldCharType="begin"/>
        </w:r>
        <w:r w:rsidRPr="00D06BEA">
          <w:rPr>
            <w:rFonts w:ascii="Arial" w:hAnsi="Arial" w:cs="Arial"/>
          </w:rPr>
          <w:instrText xml:space="preserve"> PAGE   \* MERGEFORMAT </w:instrText>
        </w:r>
        <w:r w:rsidRPr="00D06BEA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5</w:t>
        </w:r>
        <w:r w:rsidRPr="00D06BEA">
          <w:rPr>
            <w:rFonts w:ascii="Arial" w:hAnsi="Arial" w:cs="Arial"/>
            <w:noProof/>
          </w:rPr>
          <w:fldChar w:fldCharType="end"/>
        </w:r>
      </w:p>
    </w:sdtContent>
  </w:sdt>
  <w:p w14:paraId="34830964" w14:textId="77777777" w:rsidR="00150261" w:rsidRDefault="00150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55AD4" w14:textId="77777777" w:rsidR="00150261" w:rsidRDefault="00150261" w:rsidP="002D5E7A">
      <w:pPr>
        <w:spacing w:after="0" w:line="240" w:lineRule="auto"/>
      </w:pPr>
      <w:r>
        <w:separator/>
      </w:r>
    </w:p>
  </w:footnote>
  <w:footnote w:type="continuationSeparator" w:id="0">
    <w:p w14:paraId="26BE38EC" w14:textId="77777777" w:rsidR="00150261" w:rsidRDefault="00150261" w:rsidP="002D5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AABC1" w14:textId="77777777" w:rsidR="00150261" w:rsidRDefault="00150261">
    <w:pPr>
      <w:pStyle w:val="Header"/>
    </w:pPr>
    <w:r w:rsidRPr="00913619">
      <w:rPr>
        <w:rFonts w:ascii="Arial" w:hAnsi="Arial" w:cs="Arial"/>
        <w:noProof/>
        <w:color w:val="333333"/>
        <w:sz w:val="18"/>
        <w:szCs w:val="18"/>
        <w:lang w:eastAsia="en-GB"/>
      </w:rPr>
      <w:drawing>
        <wp:anchor distT="0" distB="0" distL="114300" distR="114300" simplePos="0" relativeHeight="251659264" behindDoc="0" locked="0" layoutInCell="1" allowOverlap="1" wp14:anchorId="27596C47" wp14:editId="2C9BA866">
          <wp:simplePos x="0" y="0"/>
          <wp:positionH relativeFrom="margin">
            <wp:posOffset>4438650</wp:posOffset>
          </wp:positionH>
          <wp:positionV relativeFrom="paragraph">
            <wp:posOffset>-38735</wp:posOffset>
          </wp:positionV>
          <wp:extent cx="1710690" cy="730250"/>
          <wp:effectExtent l="0" t="0" r="3810" b="0"/>
          <wp:wrapSquare wrapText="bothSides"/>
          <wp:docPr id="3" name="Picture 3" descr="NIC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05E4"/>
    <w:multiLevelType w:val="hybridMultilevel"/>
    <w:tmpl w:val="39D4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063A0"/>
    <w:multiLevelType w:val="hybridMultilevel"/>
    <w:tmpl w:val="97369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7A"/>
    <w:rsid w:val="000728D1"/>
    <w:rsid w:val="00107D36"/>
    <w:rsid w:val="00110D6B"/>
    <w:rsid w:val="001355EA"/>
    <w:rsid w:val="00150261"/>
    <w:rsid w:val="001535B5"/>
    <w:rsid w:val="002063C6"/>
    <w:rsid w:val="0022735E"/>
    <w:rsid w:val="00231197"/>
    <w:rsid w:val="0025411B"/>
    <w:rsid w:val="002D5E7A"/>
    <w:rsid w:val="004665CE"/>
    <w:rsid w:val="004F41AA"/>
    <w:rsid w:val="0056307C"/>
    <w:rsid w:val="006351A8"/>
    <w:rsid w:val="00644302"/>
    <w:rsid w:val="0065267C"/>
    <w:rsid w:val="007B42F9"/>
    <w:rsid w:val="008D6FE7"/>
    <w:rsid w:val="00965EFF"/>
    <w:rsid w:val="009A3939"/>
    <w:rsid w:val="00A12DD1"/>
    <w:rsid w:val="00A41695"/>
    <w:rsid w:val="00A84AF7"/>
    <w:rsid w:val="00AF5021"/>
    <w:rsid w:val="00BA1840"/>
    <w:rsid w:val="00BF78A9"/>
    <w:rsid w:val="00C22E8A"/>
    <w:rsid w:val="00D06BEA"/>
    <w:rsid w:val="00F275BF"/>
    <w:rsid w:val="00F61923"/>
    <w:rsid w:val="00F64E87"/>
    <w:rsid w:val="00F93004"/>
    <w:rsid w:val="00FC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C437"/>
  <w15:chartTrackingRefBased/>
  <w15:docId w15:val="{7E505E8E-FBC3-4D91-9534-0499D459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E7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7A"/>
  </w:style>
  <w:style w:type="paragraph" w:styleId="Footer">
    <w:name w:val="footer"/>
    <w:basedOn w:val="Normal"/>
    <w:link w:val="FooterChar"/>
    <w:uiPriority w:val="99"/>
    <w:unhideWhenUsed/>
    <w:rsid w:val="002D5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7A"/>
  </w:style>
  <w:style w:type="character" w:styleId="Hyperlink">
    <w:name w:val="Hyperlink"/>
    <w:basedOn w:val="DefaultParagraphFont"/>
    <w:uiPriority w:val="99"/>
    <w:unhideWhenUsed/>
    <w:rsid w:val="00AF5021"/>
    <w:rPr>
      <w:color w:val="0563C1" w:themeColor="hyperlink"/>
      <w:u w:val="single"/>
    </w:rPr>
  </w:style>
  <w:style w:type="paragraph" w:customStyle="1" w:styleId="Default">
    <w:name w:val="Default"/>
    <w:rsid w:val="00BF78A9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table" w:customStyle="1" w:styleId="TableGrid">
    <w:name w:val="TableGrid"/>
    <w:rsid w:val="0015026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35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on.org.uk/content/uploads/2018/08/NJC-Technical-Advice-in-Local-Discussion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mb.org.uk/sites/default/files/LG_OFFE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McGimpsey</dc:creator>
  <cp:keywords/>
  <dc:description/>
  <cp:lastModifiedBy>Alex Hastings</cp:lastModifiedBy>
  <cp:revision>12</cp:revision>
  <dcterms:created xsi:type="dcterms:W3CDTF">2019-04-12T13:32:00Z</dcterms:created>
  <dcterms:modified xsi:type="dcterms:W3CDTF">2019-04-12T14:20:00Z</dcterms:modified>
</cp:coreProperties>
</file>