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728" w:rsidRDefault="00C24728" w:rsidP="00B67D47">
      <w:pPr>
        <w:jc w:val="center"/>
        <w:rPr>
          <w:rFonts w:ascii="Times New Roman" w:hAnsi="Times New Roman"/>
          <w:sz w:val="28"/>
        </w:rPr>
      </w:pPr>
      <w:bookmarkStart w:id="0" w:name="_GoBack"/>
      <w:bookmarkEnd w:id="0"/>
    </w:p>
    <w:p w:rsidR="00C24728" w:rsidRDefault="00C24728" w:rsidP="00B67D47">
      <w:pPr>
        <w:jc w:val="center"/>
        <w:rPr>
          <w:rFonts w:ascii="Times New Roman" w:hAnsi="Times New Roman"/>
          <w:sz w:val="28"/>
        </w:rPr>
      </w:pPr>
    </w:p>
    <w:p w:rsidR="00292F11" w:rsidRDefault="00292F11" w:rsidP="00B67D47">
      <w:pPr>
        <w:jc w:val="center"/>
        <w:rPr>
          <w:rFonts w:ascii="Times New Roman" w:hAnsi="Times New Roman"/>
          <w:sz w:val="28"/>
        </w:rPr>
      </w:pPr>
      <w:r>
        <w:rPr>
          <w:rFonts w:ascii="Times New Roman" w:hAnsi="Times New Roman"/>
          <w:sz w:val="28"/>
        </w:rPr>
        <w:t>NICVA CEE Masterclass</w:t>
      </w:r>
    </w:p>
    <w:p w:rsidR="00292F11" w:rsidRPr="00292F11" w:rsidRDefault="00292F11" w:rsidP="00B67D47">
      <w:pPr>
        <w:jc w:val="center"/>
        <w:rPr>
          <w:rFonts w:ascii="Times New Roman" w:hAnsi="Times New Roman"/>
        </w:rPr>
      </w:pPr>
      <w:r w:rsidRPr="00292F11">
        <w:rPr>
          <w:rFonts w:ascii="Times New Roman" w:hAnsi="Times New Roman"/>
        </w:rPr>
        <w:t>15</w:t>
      </w:r>
      <w:r w:rsidRPr="00292F11">
        <w:rPr>
          <w:rFonts w:ascii="Times New Roman" w:hAnsi="Times New Roman"/>
          <w:vertAlign w:val="superscript"/>
        </w:rPr>
        <w:t>th</w:t>
      </w:r>
      <w:r w:rsidRPr="00292F11">
        <w:rPr>
          <w:rFonts w:ascii="Times New Roman" w:hAnsi="Times New Roman"/>
        </w:rPr>
        <w:t xml:space="preserve"> February 2013-02-13</w:t>
      </w:r>
    </w:p>
    <w:p w:rsidR="00292F11" w:rsidRDefault="00292F11" w:rsidP="00B67D47">
      <w:pPr>
        <w:jc w:val="center"/>
        <w:rPr>
          <w:rFonts w:ascii="Times New Roman" w:hAnsi="Times New Roman"/>
          <w:sz w:val="28"/>
        </w:rPr>
      </w:pPr>
    </w:p>
    <w:p w:rsidR="00C24728" w:rsidRPr="00C24728" w:rsidRDefault="00C24728" w:rsidP="00B67D47">
      <w:pPr>
        <w:jc w:val="center"/>
        <w:rPr>
          <w:rFonts w:ascii="Times New Roman" w:hAnsi="Times New Roman"/>
          <w:sz w:val="28"/>
        </w:rPr>
      </w:pPr>
    </w:p>
    <w:p w:rsidR="00292F11" w:rsidRDefault="000F4982" w:rsidP="00B67D47">
      <w:pPr>
        <w:jc w:val="center"/>
        <w:rPr>
          <w:rFonts w:ascii="Times New Roman" w:hAnsi="Times New Roman"/>
          <w:sz w:val="28"/>
        </w:rPr>
      </w:pPr>
      <w:r w:rsidRPr="00511E36">
        <w:rPr>
          <w:rFonts w:ascii="Times New Roman" w:hAnsi="Times New Roman"/>
          <w:sz w:val="28"/>
        </w:rPr>
        <w:t>The Banking Sector and the Financial Crisis.</w:t>
      </w:r>
    </w:p>
    <w:p w:rsidR="00292F11" w:rsidRDefault="00292F11" w:rsidP="00B67D47">
      <w:pPr>
        <w:jc w:val="center"/>
        <w:rPr>
          <w:rFonts w:ascii="Times New Roman" w:hAnsi="Times New Roman"/>
          <w:sz w:val="28"/>
        </w:rPr>
      </w:pPr>
      <w:r>
        <w:rPr>
          <w:rFonts w:ascii="Times New Roman" w:hAnsi="Times New Roman"/>
          <w:sz w:val="28"/>
        </w:rPr>
        <w:t>Jim Stewart</w:t>
      </w:r>
    </w:p>
    <w:p w:rsidR="00292F11" w:rsidRDefault="00292F11" w:rsidP="00B67D47">
      <w:pPr>
        <w:jc w:val="center"/>
        <w:rPr>
          <w:rFonts w:ascii="Times New Roman" w:hAnsi="Times New Roman"/>
          <w:sz w:val="28"/>
        </w:rPr>
      </w:pPr>
      <w:r>
        <w:rPr>
          <w:rFonts w:ascii="Times New Roman" w:hAnsi="Times New Roman"/>
          <w:sz w:val="28"/>
        </w:rPr>
        <w:t>School of Business,</w:t>
      </w:r>
    </w:p>
    <w:p w:rsidR="00511E36" w:rsidRPr="00511E36" w:rsidRDefault="00292F11" w:rsidP="00B67D47">
      <w:pPr>
        <w:jc w:val="center"/>
        <w:rPr>
          <w:rFonts w:ascii="Times New Roman" w:hAnsi="Times New Roman"/>
          <w:sz w:val="28"/>
        </w:rPr>
      </w:pPr>
      <w:r>
        <w:rPr>
          <w:rFonts w:ascii="Times New Roman" w:hAnsi="Times New Roman"/>
          <w:sz w:val="28"/>
        </w:rPr>
        <w:t>Trinity College Dublin.</w:t>
      </w:r>
      <w:r w:rsidR="00F23930" w:rsidRPr="00511E36">
        <w:rPr>
          <w:rFonts w:ascii="Times New Roman" w:hAnsi="Times New Roman"/>
          <w:sz w:val="28"/>
        </w:rPr>
        <w:t xml:space="preserve"> </w:t>
      </w:r>
    </w:p>
    <w:p w:rsidR="003C7462" w:rsidRPr="00C24728" w:rsidRDefault="00C24728" w:rsidP="00B67D47">
      <w:pPr>
        <w:jc w:val="center"/>
        <w:rPr>
          <w:rFonts w:ascii="Times New Roman" w:hAnsi="Times New Roman"/>
          <w:sz w:val="18"/>
        </w:rPr>
      </w:pPr>
      <w:r w:rsidRPr="00C24728">
        <w:rPr>
          <w:rFonts w:ascii="Times New Roman" w:hAnsi="Times New Roman"/>
          <w:sz w:val="18"/>
        </w:rPr>
        <w:t>Version 15</w:t>
      </w:r>
      <w:r w:rsidR="00F23930" w:rsidRPr="00C24728">
        <w:rPr>
          <w:rFonts w:ascii="Times New Roman" w:hAnsi="Times New Roman"/>
          <w:sz w:val="18"/>
          <w:vertAlign w:val="superscript"/>
        </w:rPr>
        <w:t>th</w:t>
      </w:r>
      <w:r w:rsidR="00F23930" w:rsidRPr="00C24728">
        <w:rPr>
          <w:rFonts w:ascii="Times New Roman" w:hAnsi="Times New Roman"/>
          <w:sz w:val="18"/>
        </w:rPr>
        <w:t xml:space="preserve"> February</w:t>
      </w:r>
    </w:p>
    <w:p w:rsidR="00C24728" w:rsidRDefault="00C24728">
      <w:pPr>
        <w:rPr>
          <w:rFonts w:ascii="Times New Roman" w:hAnsi="Times New Roman"/>
        </w:rPr>
      </w:pPr>
      <w:r>
        <w:rPr>
          <w:rFonts w:ascii="Times New Roman" w:hAnsi="Times New Roman"/>
        </w:rPr>
        <w:br w:type="page"/>
      </w:r>
    </w:p>
    <w:p w:rsidR="00125E05" w:rsidRPr="00125E05" w:rsidRDefault="00125E05" w:rsidP="005F73EA">
      <w:pPr>
        <w:spacing w:line="240" w:lineRule="auto"/>
        <w:jc w:val="center"/>
        <w:rPr>
          <w:rFonts w:ascii="Times New Roman" w:hAnsi="Times New Roman"/>
          <w:b/>
          <w:sz w:val="28"/>
        </w:rPr>
      </w:pPr>
      <w:r w:rsidRPr="00125E05">
        <w:rPr>
          <w:rFonts w:ascii="Times New Roman" w:hAnsi="Times New Roman"/>
          <w:b/>
          <w:sz w:val="28"/>
        </w:rPr>
        <w:lastRenderedPageBreak/>
        <w:t>The Banking Sector and the Financial Crisis</w:t>
      </w:r>
      <w:r>
        <w:rPr>
          <w:rFonts w:ascii="Times New Roman" w:hAnsi="Times New Roman"/>
          <w:b/>
          <w:sz w:val="28"/>
        </w:rPr>
        <w:t xml:space="preserve"> in Ireland</w:t>
      </w:r>
      <w:r w:rsidRPr="00125E05">
        <w:rPr>
          <w:rFonts w:ascii="Times New Roman" w:hAnsi="Times New Roman"/>
          <w:b/>
          <w:sz w:val="28"/>
        </w:rPr>
        <w:t>.</w:t>
      </w:r>
    </w:p>
    <w:p w:rsidR="00125E05" w:rsidRDefault="00125E05" w:rsidP="005F73EA">
      <w:pPr>
        <w:spacing w:line="240" w:lineRule="auto"/>
        <w:rPr>
          <w:rFonts w:ascii="Times New Roman" w:hAnsi="Times New Roman"/>
        </w:rPr>
      </w:pPr>
    </w:p>
    <w:p w:rsidR="000F4982" w:rsidRPr="00125E05" w:rsidRDefault="00C24728" w:rsidP="005F73EA">
      <w:pPr>
        <w:spacing w:line="240" w:lineRule="auto"/>
        <w:rPr>
          <w:rFonts w:ascii="Times New Roman" w:hAnsi="Times New Roman"/>
          <w:b/>
        </w:rPr>
      </w:pPr>
      <w:r w:rsidRPr="00125E05">
        <w:rPr>
          <w:rFonts w:ascii="Times New Roman" w:hAnsi="Times New Roman"/>
          <w:b/>
        </w:rPr>
        <w:t>1</w:t>
      </w:r>
      <w:r w:rsidR="00042D56" w:rsidRPr="00125E05">
        <w:rPr>
          <w:rFonts w:ascii="Times New Roman" w:hAnsi="Times New Roman"/>
          <w:b/>
        </w:rPr>
        <w:t xml:space="preserve">. </w:t>
      </w:r>
      <w:r w:rsidR="000F4982" w:rsidRPr="00125E05">
        <w:rPr>
          <w:rFonts w:ascii="Times New Roman" w:hAnsi="Times New Roman"/>
          <w:b/>
        </w:rPr>
        <w:t>The Banking Sector in Ireland</w:t>
      </w:r>
    </w:p>
    <w:p w:rsidR="0011123D" w:rsidRPr="00511E36" w:rsidRDefault="0011123D" w:rsidP="005F73EA">
      <w:pPr>
        <w:spacing w:line="240" w:lineRule="auto"/>
        <w:rPr>
          <w:rFonts w:ascii="Times New Roman" w:hAnsi="Times New Roman"/>
        </w:rPr>
      </w:pPr>
      <w:r w:rsidRPr="00511E36">
        <w:rPr>
          <w:rFonts w:ascii="Times New Roman" w:hAnsi="Times New Roman"/>
        </w:rPr>
        <w:t>For Most of the last century the banking sector in Ireland was dominated by fo</w:t>
      </w:r>
      <w:r w:rsidR="00B67D47" w:rsidRPr="00511E36">
        <w:rPr>
          <w:rFonts w:ascii="Times New Roman" w:hAnsi="Times New Roman"/>
        </w:rPr>
        <w:t>u</w:t>
      </w:r>
      <w:r w:rsidRPr="00511E36">
        <w:rPr>
          <w:rFonts w:ascii="Times New Roman" w:hAnsi="Times New Roman"/>
        </w:rPr>
        <w:t>r main banks:-</w:t>
      </w:r>
    </w:p>
    <w:p w:rsidR="0011123D" w:rsidRPr="00511E36" w:rsidRDefault="0011123D" w:rsidP="005F73EA">
      <w:pPr>
        <w:spacing w:line="240" w:lineRule="auto"/>
        <w:rPr>
          <w:rFonts w:ascii="Times New Roman" w:hAnsi="Times New Roman"/>
        </w:rPr>
      </w:pPr>
      <w:r w:rsidRPr="00511E36">
        <w:rPr>
          <w:rFonts w:ascii="Times New Roman" w:hAnsi="Times New Roman"/>
        </w:rPr>
        <w:t>Bank of Ireland;</w:t>
      </w:r>
    </w:p>
    <w:p w:rsidR="0011123D" w:rsidRPr="00511E36" w:rsidRDefault="0011123D" w:rsidP="005F73EA">
      <w:pPr>
        <w:spacing w:line="240" w:lineRule="auto"/>
        <w:rPr>
          <w:rFonts w:ascii="Times New Roman" w:hAnsi="Times New Roman"/>
        </w:rPr>
      </w:pPr>
      <w:r w:rsidRPr="00511E36">
        <w:rPr>
          <w:rFonts w:ascii="Times New Roman" w:hAnsi="Times New Roman"/>
        </w:rPr>
        <w:t>Allied Irish Banks;</w:t>
      </w:r>
    </w:p>
    <w:p w:rsidR="0011123D" w:rsidRPr="00511E36" w:rsidRDefault="0011123D" w:rsidP="005F73EA">
      <w:pPr>
        <w:spacing w:line="240" w:lineRule="auto"/>
        <w:rPr>
          <w:rFonts w:ascii="Times New Roman" w:hAnsi="Times New Roman"/>
        </w:rPr>
      </w:pPr>
      <w:r w:rsidRPr="00511E36">
        <w:rPr>
          <w:rFonts w:ascii="Times New Roman" w:hAnsi="Times New Roman"/>
        </w:rPr>
        <w:t>Ulster Bank;</w:t>
      </w:r>
    </w:p>
    <w:p w:rsidR="0011123D" w:rsidRPr="00511E36" w:rsidRDefault="0011123D" w:rsidP="005F73EA">
      <w:pPr>
        <w:spacing w:line="240" w:lineRule="auto"/>
        <w:rPr>
          <w:rFonts w:ascii="Times New Roman" w:hAnsi="Times New Roman"/>
        </w:rPr>
      </w:pPr>
      <w:r w:rsidRPr="00511E36">
        <w:rPr>
          <w:rFonts w:ascii="Times New Roman" w:hAnsi="Times New Roman"/>
        </w:rPr>
        <w:t>Northern Bank (Danske Bank).</w:t>
      </w:r>
    </w:p>
    <w:p w:rsidR="0011123D" w:rsidRPr="00511E36" w:rsidRDefault="0011123D" w:rsidP="005F73EA">
      <w:pPr>
        <w:spacing w:line="240" w:lineRule="auto"/>
        <w:rPr>
          <w:rFonts w:ascii="Times New Roman" w:hAnsi="Times New Roman"/>
        </w:rPr>
      </w:pPr>
      <w:r w:rsidRPr="00511E36">
        <w:rPr>
          <w:rFonts w:ascii="Times New Roman" w:hAnsi="Times New Roman"/>
        </w:rPr>
        <w:t xml:space="preserve">There were other banking institutions in particular Building Societies which </w:t>
      </w:r>
      <w:r w:rsidR="00B67D47" w:rsidRPr="00511E36">
        <w:rPr>
          <w:rFonts w:ascii="Times New Roman" w:hAnsi="Times New Roman"/>
        </w:rPr>
        <w:t xml:space="preserve">demutualised and were then taken over by other banks (Irish Permanent, EBS, Irish Civil Service Building Society), and one other bank Anglo Irish Bank which grew rapidly and then collapsed.  This bank was taken over by the Irish State, merged with a building Society called </w:t>
      </w:r>
      <w:r w:rsidR="003568D9" w:rsidRPr="00511E36">
        <w:rPr>
          <w:rFonts w:ascii="Times New Roman" w:hAnsi="Times New Roman"/>
        </w:rPr>
        <w:t>Irish Nationwide, renamed the Irish Bank Resolution Corporation and was then liquidated on 6</w:t>
      </w:r>
      <w:r w:rsidR="003568D9" w:rsidRPr="00511E36">
        <w:rPr>
          <w:rFonts w:ascii="Times New Roman" w:hAnsi="Times New Roman"/>
          <w:vertAlign w:val="superscript"/>
        </w:rPr>
        <w:t>th</w:t>
      </w:r>
      <w:r w:rsidR="003568D9" w:rsidRPr="00511E36">
        <w:rPr>
          <w:rFonts w:ascii="Times New Roman" w:hAnsi="Times New Roman"/>
        </w:rPr>
        <w:t xml:space="preserve"> February last.  Most of these latter banks in contrast to the four main banks had very little business in N.I.</w:t>
      </w:r>
      <w:r w:rsidR="00515440" w:rsidRPr="00511E36">
        <w:rPr>
          <w:rFonts w:ascii="Times New Roman" w:hAnsi="Times New Roman"/>
        </w:rPr>
        <w:t xml:space="preserve"> Other banking activities are carried out at a local level by Credit Un</w:t>
      </w:r>
      <w:r w:rsidR="00292F11">
        <w:rPr>
          <w:rFonts w:ascii="Times New Roman" w:hAnsi="Times New Roman"/>
        </w:rPr>
        <w:t>ions and the Post Office</w:t>
      </w:r>
      <w:r w:rsidR="00515440" w:rsidRPr="00511E36">
        <w:rPr>
          <w:rFonts w:ascii="Times New Roman" w:hAnsi="Times New Roman"/>
        </w:rPr>
        <w:t>.</w:t>
      </w:r>
    </w:p>
    <w:p w:rsidR="00FB6E73" w:rsidRPr="00511E36" w:rsidRDefault="00FB6E73" w:rsidP="005F73EA">
      <w:pPr>
        <w:spacing w:line="240" w:lineRule="auto"/>
        <w:rPr>
          <w:rFonts w:ascii="Times New Roman" w:hAnsi="Times New Roman"/>
          <w:b/>
        </w:rPr>
      </w:pPr>
      <w:r w:rsidRPr="00511E36">
        <w:rPr>
          <w:rFonts w:ascii="Times New Roman" w:hAnsi="Times New Roman"/>
          <w:b/>
        </w:rPr>
        <w:t>What Banks Do</w:t>
      </w:r>
    </w:p>
    <w:p w:rsidR="00EE0DD6" w:rsidRDefault="00EE0DD6" w:rsidP="005F73EA">
      <w:pPr>
        <w:spacing w:line="240" w:lineRule="auto"/>
        <w:rPr>
          <w:rFonts w:ascii="Times New Roman" w:hAnsi="Times New Roman"/>
        </w:rPr>
      </w:pPr>
      <w:r>
        <w:rPr>
          <w:rFonts w:ascii="Times New Roman" w:hAnsi="Times New Roman"/>
        </w:rPr>
        <w:t xml:space="preserve">Banks are a vital part of any modern economy.  They perform a number of key functions:- </w:t>
      </w:r>
    </w:p>
    <w:p w:rsidR="00EE0DD6" w:rsidRDefault="00EE0DD6" w:rsidP="005F73EA">
      <w:pPr>
        <w:spacing w:line="240" w:lineRule="auto"/>
        <w:rPr>
          <w:rFonts w:ascii="Times New Roman" w:hAnsi="Times New Roman"/>
        </w:rPr>
      </w:pPr>
      <w:r>
        <w:rPr>
          <w:rFonts w:ascii="Times New Roman" w:hAnsi="Times New Roman"/>
        </w:rPr>
        <w:t xml:space="preserve">(1) A repository and access to liquid assets; </w:t>
      </w:r>
    </w:p>
    <w:p w:rsidR="00EE0DD6" w:rsidRDefault="00EE0DD6" w:rsidP="005F73EA">
      <w:pPr>
        <w:spacing w:line="240" w:lineRule="auto"/>
        <w:rPr>
          <w:rFonts w:ascii="Times New Roman" w:hAnsi="Times New Roman"/>
        </w:rPr>
      </w:pPr>
      <w:r>
        <w:rPr>
          <w:rFonts w:ascii="Times New Roman" w:hAnsi="Times New Roman"/>
        </w:rPr>
        <w:t xml:space="preserve">(2) transferring funds; </w:t>
      </w:r>
    </w:p>
    <w:p w:rsidR="00EE0DD6" w:rsidRDefault="00EE0DD6" w:rsidP="005F73EA">
      <w:pPr>
        <w:spacing w:line="240" w:lineRule="auto"/>
        <w:rPr>
          <w:rFonts w:ascii="Times New Roman" w:hAnsi="Times New Roman"/>
        </w:rPr>
      </w:pPr>
      <w:r>
        <w:rPr>
          <w:rFonts w:ascii="Times New Roman" w:hAnsi="Times New Roman"/>
        </w:rPr>
        <w:t>(3) provision of financial services and retention of records;</w:t>
      </w:r>
    </w:p>
    <w:p w:rsidR="00EE0DD6" w:rsidRDefault="00EE0DD6" w:rsidP="005F73EA">
      <w:pPr>
        <w:spacing w:line="240" w:lineRule="auto"/>
        <w:rPr>
          <w:rFonts w:ascii="Times New Roman" w:hAnsi="Times New Roman"/>
        </w:rPr>
      </w:pPr>
      <w:r>
        <w:rPr>
          <w:rFonts w:ascii="Times New Roman" w:hAnsi="Times New Roman"/>
        </w:rPr>
        <w:t>(4) provision of short term credit and lending.</w:t>
      </w:r>
    </w:p>
    <w:p w:rsidR="009C117B" w:rsidRDefault="00EE0DD6" w:rsidP="005F73EA">
      <w:pPr>
        <w:spacing w:line="240" w:lineRule="auto"/>
        <w:rPr>
          <w:rFonts w:ascii="Times New Roman" w:hAnsi="Times New Roman"/>
        </w:rPr>
      </w:pPr>
      <w:r>
        <w:rPr>
          <w:rFonts w:ascii="Times New Roman" w:hAnsi="Times New Roman"/>
        </w:rPr>
        <w:t>Solutions to the banking crisis have ensured the first three functions have been maintained, but not</w:t>
      </w:r>
      <w:r w:rsidR="00DA5969">
        <w:rPr>
          <w:rFonts w:ascii="Times New Roman" w:hAnsi="Times New Roman"/>
        </w:rPr>
        <w:t xml:space="preserve"> t</w:t>
      </w:r>
      <w:r>
        <w:rPr>
          <w:rFonts w:ascii="Times New Roman" w:hAnsi="Times New Roman"/>
        </w:rPr>
        <w:t>he la</w:t>
      </w:r>
      <w:r w:rsidR="00DA5969">
        <w:rPr>
          <w:rFonts w:ascii="Times New Roman" w:hAnsi="Times New Roman"/>
        </w:rPr>
        <w:t>st, despite large capital contributions and repeated assertions.</w:t>
      </w:r>
    </w:p>
    <w:p w:rsidR="00DE05B9" w:rsidRDefault="00DE05B9" w:rsidP="005F73EA">
      <w:pPr>
        <w:spacing w:line="240" w:lineRule="auto"/>
        <w:rPr>
          <w:rFonts w:ascii="Times New Roman" w:hAnsi="Times New Roman"/>
          <w:b/>
        </w:rPr>
      </w:pPr>
    </w:p>
    <w:p w:rsidR="00EE0DD6" w:rsidRPr="009C117B" w:rsidRDefault="009C117B" w:rsidP="005F73EA">
      <w:pPr>
        <w:spacing w:line="240" w:lineRule="auto"/>
        <w:rPr>
          <w:rFonts w:ascii="Times New Roman" w:hAnsi="Times New Roman"/>
          <w:b/>
        </w:rPr>
      </w:pPr>
      <w:r w:rsidRPr="009C117B">
        <w:rPr>
          <w:rFonts w:ascii="Times New Roman" w:hAnsi="Times New Roman"/>
          <w:b/>
        </w:rPr>
        <w:t>Why Banks are Regulated</w:t>
      </w:r>
      <w:r w:rsidR="00DA5969" w:rsidRPr="009C117B">
        <w:rPr>
          <w:rFonts w:ascii="Times New Roman" w:hAnsi="Times New Roman"/>
          <w:b/>
        </w:rPr>
        <w:t xml:space="preserve"> </w:t>
      </w:r>
      <w:r w:rsidR="00EE0DD6" w:rsidRPr="009C117B">
        <w:rPr>
          <w:rFonts w:ascii="Times New Roman" w:hAnsi="Times New Roman"/>
          <w:b/>
        </w:rPr>
        <w:t xml:space="preserve"> </w:t>
      </w:r>
    </w:p>
    <w:p w:rsidR="009D4A90" w:rsidRDefault="00FB6E73" w:rsidP="005F73EA">
      <w:pPr>
        <w:spacing w:line="240" w:lineRule="auto"/>
        <w:rPr>
          <w:rFonts w:ascii="Times New Roman" w:hAnsi="Times New Roman"/>
        </w:rPr>
      </w:pPr>
      <w:r>
        <w:rPr>
          <w:rFonts w:ascii="Times New Roman" w:hAnsi="Times New Roman"/>
        </w:rPr>
        <w:t>Financial products and banking services are different from other goods and services</w:t>
      </w:r>
      <w:r w:rsidR="009D4A90">
        <w:rPr>
          <w:rFonts w:ascii="Times New Roman" w:hAnsi="Times New Roman"/>
        </w:rPr>
        <w:t>:-</w:t>
      </w:r>
    </w:p>
    <w:p w:rsidR="009D4A90" w:rsidRDefault="009D4A90" w:rsidP="005F73EA">
      <w:pPr>
        <w:spacing w:line="240" w:lineRule="auto"/>
        <w:rPr>
          <w:rFonts w:ascii="Times New Roman" w:hAnsi="Times New Roman"/>
        </w:rPr>
      </w:pPr>
      <w:r>
        <w:rPr>
          <w:rFonts w:ascii="Times New Roman" w:hAnsi="Times New Roman"/>
        </w:rPr>
        <w:t xml:space="preserve"> They are ‘credence goods’.  </w:t>
      </w:r>
    </w:p>
    <w:p w:rsidR="0011123D" w:rsidRDefault="009D4A90" w:rsidP="005F73EA">
      <w:pPr>
        <w:spacing w:line="240" w:lineRule="auto"/>
        <w:rPr>
          <w:rFonts w:ascii="Times New Roman" w:hAnsi="Times New Roman"/>
        </w:rPr>
      </w:pPr>
      <w:r>
        <w:rPr>
          <w:rFonts w:ascii="Times New Roman" w:hAnsi="Times New Roman"/>
        </w:rPr>
        <w:t>There are large ‘information asymmetries’, resulting in fraud, ‘misselling’ of products</w:t>
      </w:r>
    </w:p>
    <w:p w:rsidR="009C117B" w:rsidRDefault="009C117B" w:rsidP="005F73EA">
      <w:pPr>
        <w:spacing w:line="240" w:lineRule="auto"/>
        <w:rPr>
          <w:rFonts w:ascii="Times New Roman" w:hAnsi="Times New Roman"/>
        </w:rPr>
      </w:pPr>
      <w:r>
        <w:rPr>
          <w:rFonts w:ascii="Times New Roman" w:hAnsi="Times New Roman"/>
        </w:rPr>
        <w:t>“conduct of business” issues can result in ‘systemic risk’</w:t>
      </w:r>
    </w:p>
    <w:p w:rsidR="009C117B" w:rsidRDefault="00511E36" w:rsidP="005F73EA">
      <w:pPr>
        <w:spacing w:line="240" w:lineRule="auto"/>
        <w:rPr>
          <w:rFonts w:ascii="Times New Roman" w:hAnsi="Times New Roman"/>
        </w:rPr>
      </w:pPr>
      <w:r>
        <w:rPr>
          <w:rFonts w:ascii="Times New Roman" w:hAnsi="Times New Roman"/>
        </w:rPr>
        <w:t>Failure of r</w:t>
      </w:r>
      <w:r w:rsidR="009C117B">
        <w:rPr>
          <w:rFonts w:ascii="Times New Roman" w:hAnsi="Times New Roman"/>
        </w:rPr>
        <w:t>egulation was key factor in the banking crisis</w:t>
      </w:r>
      <w:r>
        <w:rPr>
          <w:rFonts w:ascii="Times New Roman" w:hAnsi="Times New Roman"/>
        </w:rPr>
        <w:t xml:space="preserve">, </w:t>
      </w:r>
      <w:r w:rsidR="00735460">
        <w:rPr>
          <w:rFonts w:ascii="Times New Roman" w:hAnsi="Times New Roman"/>
        </w:rPr>
        <w:t xml:space="preserve">particularly </w:t>
      </w:r>
      <w:r>
        <w:rPr>
          <w:rFonts w:ascii="Times New Roman" w:hAnsi="Times New Roman"/>
        </w:rPr>
        <w:t xml:space="preserve"> in Ireland</w:t>
      </w:r>
      <w:r w:rsidR="009C117B">
        <w:rPr>
          <w:rFonts w:ascii="Times New Roman" w:hAnsi="Times New Roman"/>
        </w:rPr>
        <w:t>.</w:t>
      </w:r>
    </w:p>
    <w:p w:rsidR="006578E4" w:rsidRDefault="006578E4" w:rsidP="005F73EA">
      <w:pPr>
        <w:spacing w:line="240" w:lineRule="auto"/>
        <w:rPr>
          <w:rFonts w:ascii="Times New Roman" w:hAnsi="Times New Roman"/>
        </w:rPr>
      </w:pPr>
    </w:p>
    <w:p w:rsidR="005F73EA" w:rsidRDefault="005F73EA" w:rsidP="005F73EA">
      <w:pPr>
        <w:spacing w:line="240" w:lineRule="auto"/>
        <w:rPr>
          <w:rFonts w:ascii="Times New Roman" w:hAnsi="Times New Roman"/>
        </w:rPr>
      </w:pPr>
    </w:p>
    <w:p w:rsidR="005F73EA" w:rsidRDefault="005F73EA" w:rsidP="005F73EA">
      <w:pPr>
        <w:spacing w:line="240" w:lineRule="auto"/>
        <w:rPr>
          <w:rFonts w:ascii="Times New Roman" w:hAnsi="Times New Roman"/>
        </w:rPr>
      </w:pPr>
    </w:p>
    <w:p w:rsidR="005F73EA" w:rsidRDefault="005F73EA" w:rsidP="005F73EA">
      <w:pPr>
        <w:spacing w:line="240" w:lineRule="auto"/>
        <w:rPr>
          <w:rFonts w:ascii="Times New Roman" w:hAnsi="Times New Roman"/>
        </w:rPr>
      </w:pPr>
    </w:p>
    <w:p w:rsidR="009C117B" w:rsidRPr="006578E4" w:rsidRDefault="00C24728" w:rsidP="005F73EA">
      <w:pPr>
        <w:spacing w:line="240" w:lineRule="auto"/>
        <w:rPr>
          <w:rFonts w:ascii="Times New Roman" w:hAnsi="Times New Roman"/>
          <w:b/>
        </w:rPr>
      </w:pPr>
      <w:r>
        <w:rPr>
          <w:rFonts w:ascii="Times New Roman" w:hAnsi="Times New Roman"/>
          <w:b/>
        </w:rPr>
        <w:lastRenderedPageBreak/>
        <w:t xml:space="preserve">2. </w:t>
      </w:r>
      <w:r w:rsidR="009C117B" w:rsidRPr="006578E4">
        <w:rPr>
          <w:rFonts w:ascii="Times New Roman" w:hAnsi="Times New Roman"/>
          <w:b/>
        </w:rPr>
        <w:t>The Financial and P</w:t>
      </w:r>
      <w:r w:rsidR="003500DD">
        <w:rPr>
          <w:rFonts w:ascii="Times New Roman" w:hAnsi="Times New Roman"/>
          <w:b/>
        </w:rPr>
        <w:t>roperty Crisis and their Impact</w:t>
      </w:r>
      <w:r w:rsidR="009C117B" w:rsidRPr="006578E4">
        <w:rPr>
          <w:rFonts w:ascii="Times New Roman" w:hAnsi="Times New Roman"/>
          <w:b/>
        </w:rPr>
        <w:t>.</w:t>
      </w:r>
    </w:p>
    <w:p w:rsidR="00C16862" w:rsidRDefault="006578E4" w:rsidP="005F73EA">
      <w:pPr>
        <w:spacing w:line="240" w:lineRule="auto"/>
        <w:rPr>
          <w:rFonts w:ascii="Times New Roman" w:hAnsi="Times New Roman"/>
        </w:rPr>
      </w:pPr>
      <w:r>
        <w:rPr>
          <w:rFonts w:ascii="Times New Roman" w:hAnsi="Times New Roman"/>
        </w:rPr>
        <w:t>Slide (1)</w:t>
      </w:r>
      <w:r w:rsidR="00F23930">
        <w:rPr>
          <w:rFonts w:ascii="Times New Roman" w:hAnsi="Times New Roman"/>
        </w:rPr>
        <w:t xml:space="preserve"> </w:t>
      </w:r>
      <w:r>
        <w:rPr>
          <w:rFonts w:ascii="Times New Roman" w:hAnsi="Times New Roman"/>
        </w:rPr>
        <w:t xml:space="preserve">shows loan </w:t>
      </w:r>
      <w:r w:rsidR="00340CB0">
        <w:rPr>
          <w:rFonts w:ascii="Times New Roman" w:hAnsi="Times New Roman"/>
        </w:rPr>
        <w:t xml:space="preserve">compound growth in excess of 40% per annum for some </w:t>
      </w:r>
      <w:r>
        <w:rPr>
          <w:rFonts w:ascii="Times New Roman" w:hAnsi="Times New Roman"/>
        </w:rPr>
        <w:t xml:space="preserve"> Irish financial institutions</w:t>
      </w:r>
      <w:r w:rsidR="00340CB0">
        <w:rPr>
          <w:rFonts w:ascii="Times New Roman" w:hAnsi="Times New Roman"/>
        </w:rPr>
        <w:t xml:space="preserve"> 2003-2006</w:t>
      </w:r>
      <w:r w:rsidR="0078048C">
        <w:rPr>
          <w:rFonts w:ascii="Times New Roman" w:hAnsi="Times New Roman"/>
        </w:rPr>
        <w:t xml:space="preserve"> (Source: Regling and Watson).</w:t>
      </w:r>
    </w:p>
    <w:p w:rsidR="00C16862" w:rsidRDefault="00C16862" w:rsidP="005F73EA">
      <w:pPr>
        <w:spacing w:line="240" w:lineRule="auto"/>
        <w:rPr>
          <w:rFonts w:ascii="Times New Roman" w:hAnsi="Times New Roman"/>
        </w:rPr>
      </w:pPr>
      <w:r>
        <w:rPr>
          <w:rFonts w:ascii="Times New Roman" w:hAnsi="Times New Roman"/>
          <w:noProof/>
          <w:lang w:val="en-GB" w:eastAsia="en-GB"/>
        </w:rPr>
        <w:drawing>
          <wp:inline distT="0" distB="0" distL="0" distR="0">
            <wp:extent cx="5731510" cy="4240086"/>
            <wp:effectExtent l="19050" t="0" r="254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4240086"/>
                    </a:xfrm>
                    <a:prstGeom prst="rect">
                      <a:avLst/>
                    </a:prstGeom>
                    <a:noFill/>
                    <a:ln w="9525">
                      <a:noFill/>
                      <a:miter lim="800000"/>
                      <a:headEnd/>
                      <a:tailEnd/>
                    </a:ln>
                  </pic:spPr>
                </pic:pic>
              </a:graphicData>
            </a:graphic>
          </wp:inline>
        </w:drawing>
      </w:r>
      <w:r w:rsidRPr="00C16862">
        <w:rPr>
          <w:rFonts w:ascii="Times New Roman" w:hAnsi="Times New Roman"/>
        </w:rPr>
        <w:t xml:space="preserve"> </w:t>
      </w:r>
      <w:r>
        <w:rPr>
          <w:rFonts w:ascii="Times New Roman" w:hAnsi="Times New Roman"/>
        </w:rPr>
        <w:t>Slide (2) shows loans for construction and property to be over 75% of total loans for two financial institutions</w:t>
      </w:r>
      <w:r w:rsidR="0078048C">
        <w:rPr>
          <w:rFonts w:ascii="Times New Roman" w:hAnsi="Times New Roman"/>
        </w:rPr>
        <w:t xml:space="preserve"> (Source: Regling and Watson).</w:t>
      </w:r>
      <w:r>
        <w:rPr>
          <w:rFonts w:ascii="Times New Roman" w:hAnsi="Times New Roman"/>
        </w:rPr>
        <w:t>;</w:t>
      </w:r>
    </w:p>
    <w:p w:rsidR="00C16862" w:rsidRDefault="00C16862" w:rsidP="005F73EA">
      <w:pPr>
        <w:spacing w:line="240" w:lineRule="auto"/>
        <w:rPr>
          <w:rFonts w:ascii="Times New Roman" w:hAnsi="Times New Roman"/>
          <w:noProof/>
          <w:lang w:eastAsia="en-IE"/>
        </w:rPr>
      </w:pPr>
      <w:r>
        <w:rPr>
          <w:rFonts w:ascii="Times New Roman" w:hAnsi="Times New Roman"/>
          <w:noProof/>
          <w:lang w:val="en-GB" w:eastAsia="en-GB"/>
        </w:rPr>
        <w:lastRenderedPageBreak/>
        <w:drawing>
          <wp:inline distT="0" distB="0" distL="0" distR="0">
            <wp:extent cx="5731510" cy="3823535"/>
            <wp:effectExtent l="19050" t="0" r="254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731510" cy="3823535"/>
                    </a:xfrm>
                    <a:prstGeom prst="rect">
                      <a:avLst/>
                    </a:prstGeom>
                    <a:noFill/>
                    <a:ln w="9525">
                      <a:noFill/>
                      <a:miter lim="800000"/>
                      <a:headEnd/>
                      <a:tailEnd/>
                    </a:ln>
                  </pic:spPr>
                </pic:pic>
              </a:graphicData>
            </a:graphic>
          </wp:inline>
        </w:drawing>
      </w:r>
      <w:r>
        <w:rPr>
          <w:rFonts w:ascii="Times New Roman" w:hAnsi="Times New Roman"/>
        </w:rPr>
        <w:br w:type="page"/>
      </w:r>
    </w:p>
    <w:p w:rsidR="00C16862" w:rsidRDefault="00C16862" w:rsidP="005F73EA">
      <w:pPr>
        <w:spacing w:line="240" w:lineRule="auto"/>
        <w:rPr>
          <w:rFonts w:ascii="Times New Roman" w:hAnsi="Times New Roman"/>
          <w:noProof/>
          <w:lang w:eastAsia="en-IE"/>
        </w:rPr>
      </w:pPr>
    </w:p>
    <w:p w:rsidR="00C16862" w:rsidRDefault="00C16862" w:rsidP="005F73EA">
      <w:pPr>
        <w:spacing w:line="240" w:lineRule="auto"/>
        <w:rPr>
          <w:rFonts w:ascii="Times New Roman" w:hAnsi="Times New Roman"/>
        </w:rPr>
      </w:pPr>
      <w:r>
        <w:rPr>
          <w:rFonts w:ascii="Times New Roman" w:hAnsi="Times New Roman"/>
        </w:rPr>
        <w:t>Slide (3) loan to value ratios for Irish residential mortgages in particular the growth of 100% mortgages</w:t>
      </w:r>
      <w:r w:rsidR="0078048C">
        <w:rPr>
          <w:rFonts w:ascii="Times New Roman" w:hAnsi="Times New Roman"/>
        </w:rPr>
        <w:t xml:space="preserve"> ((Source: Regling and Watson).</w:t>
      </w:r>
      <w:r>
        <w:rPr>
          <w:rFonts w:ascii="Times New Roman" w:hAnsi="Times New Roman"/>
        </w:rPr>
        <w:t>.</w:t>
      </w:r>
    </w:p>
    <w:p w:rsidR="00C16862" w:rsidRDefault="00C16862" w:rsidP="005F73EA">
      <w:pPr>
        <w:spacing w:line="240" w:lineRule="auto"/>
        <w:rPr>
          <w:rFonts w:ascii="Times New Roman" w:hAnsi="Times New Roman"/>
          <w:noProof/>
          <w:lang w:eastAsia="en-IE"/>
        </w:rPr>
      </w:pPr>
    </w:p>
    <w:p w:rsidR="00C16862" w:rsidRDefault="00C16862" w:rsidP="005F73EA">
      <w:pPr>
        <w:spacing w:line="240" w:lineRule="auto"/>
        <w:rPr>
          <w:rFonts w:ascii="Times New Roman" w:hAnsi="Times New Roman"/>
          <w:noProof/>
          <w:lang w:eastAsia="en-IE"/>
        </w:rPr>
      </w:pPr>
    </w:p>
    <w:p w:rsidR="00FF57E0" w:rsidRPr="003500DD" w:rsidRDefault="00C16862" w:rsidP="005F73EA">
      <w:pPr>
        <w:spacing w:line="240" w:lineRule="auto"/>
        <w:rPr>
          <w:rFonts w:ascii="Times New Roman" w:hAnsi="Times New Roman"/>
        </w:rPr>
      </w:pPr>
      <w:r w:rsidRPr="00C16862">
        <w:rPr>
          <w:rFonts w:ascii="Times New Roman" w:hAnsi="Times New Roman"/>
          <w:noProof/>
          <w:lang w:val="en-GB" w:eastAsia="en-GB"/>
        </w:rPr>
        <w:drawing>
          <wp:inline distT="0" distB="0" distL="0" distR="0">
            <wp:extent cx="5718488" cy="2987899"/>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31510" cy="2994703"/>
                    </a:xfrm>
                    <a:prstGeom prst="rect">
                      <a:avLst/>
                    </a:prstGeom>
                    <a:noFill/>
                    <a:ln w="9525">
                      <a:noFill/>
                      <a:miter lim="800000"/>
                      <a:headEnd/>
                      <a:tailEnd/>
                    </a:ln>
                  </pic:spPr>
                </pic:pic>
              </a:graphicData>
            </a:graphic>
          </wp:inline>
        </w:drawing>
      </w:r>
      <w:r>
        <w:rPr>
          <w:rFonts w:ascii="Times New Roman" w:hAnsi="Times New Roman"/>
        </w:rPr>
        <w:br w:type="page"/>
      </w:r>
      <w:r w:rsidR="00FF57E0">
        <w:rPr>
          <w:rFonts w:ascii="Times New Roman" w:hAnsi="Times New Roman"/>
        </w:rPr>
        <w:lastRenderedPageBreak/>
        <w:t xml:space="preserve">Not surprisingly with a collapse in property prices, bank profits </w:t>
      </w:r>
      <w:r w:rsidR="00194B5B">
        <w:rPr>
          <w:rFonts w:ascii="Times New Roman" w:hAnsi="Times New Roman"/>
        </w:rPr>
        <w:t>also</w:t>
      </w:r>
      <w:r w:rsidR="00FF57E0">
        <w:rPr>
          <w:rFonts w:ascii="Times New Roman" w:hAnsi="Times New Roman"/>
        </w:rPr>
        <w:t xml:space="preserve"> collapsed</w:t>
      </w:r>
      <w:r w:rsidR="007C11B5">
        <w:rPr>
          <w:rFonts w:ascii="Times New Roman" w:hAnsi="Times New Roman"/>
        </w:rPr>
        <w:t xml:space="preserve"> as shown in Table (4)</w:t>
      </w:r>
      <w:r w:rsidR="00DE05B9">
        <w:rPr>
          <w:rFonts w:ascii="Times New Roman" w:hAnsi="Times New Roman"/>
        </w:rPr>
        <w:t>. Sta</w:t>
      </w:r>
      <w:r w:rsidR="003500DD">
        <w:rPr>
          <w:rFonts w:ascii="Times New Roman" w:hAnsi="Times New Roman"/>
          <w:lang w:val="en-US"/>
        </w:rPr>
        <w:t>t</w:t>
      </w:r>
      <w:r w:rsidR="00DE05B9">
        <w:rPr>
          <w:rFonts w:ascii="Times New Roman" w:hAnsi="Times New Roman"/>
        </w:rPr>
        <w:t>e support for the banking sector was so large that coupled with a fall in tax receipts, the Irish State was forced into a ‘bailout’ with the IMF, Ecb and EU (the Troika).</w:t>
      </w:r>
    </w:p>
    <w:p w:rsidR="00F23930" w:rsidRDefault="00F23930" w:rsidP="005F73EA">
      <w:pPr>
        <w:spacing w:after="0" w:line="240" w:lineRule="auto"/>
        <w:jc w:val="center"/>
        <w:rPr>
          <w:rFonts w:ascii="Times New Roman" w:hAnsi="Times New Roman"/>
        </w:rPr>
      </w:pPr>
      <w:r>
        <w:rPr>
          <w:rFonts w:ascii="Times New Roman" w:hAnsi="Times New Roman"/>
        </w:rPr>
        <w:t>Table (1)</w:t>
      </w:r>
    </w:p>
    <w:p w:rsidR="00277C5B" w:rsidRDefault="00F23930" w:rsidP="005F73EA">
      <w:pPr>
        <w:spacing w:after="0" w:line="240" w:lineRule="auto"/>
        <w:jc w:val="center"/>
        <w:rPr>
          <w:rFonts w:ascii="Times New Roman" w:hAnsi="Times New Roman"/>
        </w:rPr>
      </w:pPr>
      <w:r>
        <w:rPr>
          <w:rFonts w:ascii="Times New Roman" w:hAnsi="Times New Roman"/>
        </w:rPr>
        <w:t>Profitability of Banks in Ireland</w:t>
      </w:r>
      <w:r w:rsidR="007C11B5">
        <w:rPr>
          <w:rFonts w:ascii="Times New Roman" w:hAnsi="Times New Roman"/>
        </w:rPr>
        <w:t xml:space="preserve"> </w:t>
      </w:r>
      <w:r w:rsidR="00277C5B">
        <w:rPr>
          <w:rFonts w:ascii="Times New Roman" w:hAnsi="Times New Roman"/>
        </w:rPr>
        <w:t>2007-2012</w:t>
      </w:r>
    </w:p>
    <w:p w:rsidR="00F23930" w:rsidRDefault="007C11B5" w:rsidP="005F73EA">
      <w:pPr>
        <w:spacing w:after="0" w:line="240" w:lineRule="auto"/>
        <w:jc w:val="center"/>
        <w:rPr>
          <w:rFonts w:ascii="Times New Roman" w:hAnsi="Times New Roman"/>
        </w:rPr>
      </w:pPr>
      <w:r>
        <w:t>€</w:t>
      </w:r>
      <w:r w:rsidR="00292F11">
        <w:t xml:space="preserve"> </w:t>
      </w:r>
      <w:r w:rsidR="002A6F89">
        <w:t>m</w:t>
      </w:r>
      <w:r>
        <w:t>illion</w:t>
      </w:r>
    </w:p>
    <w:tbl>
      <w:tblPr>
        <w:tblStyle w:val="TableGrid"/>
        <w:tblW w:w="0" w:type="auto"/>
        <w:tblLook w:val="04A0" w:firstRow="1" w:lastRow="0" w:firstColumn="1" w:lastColumn="0" w:noHBand="0" w:noVBand="1"/>
      </w:tblPr>
      <w:tblGrid>
        <w:gridCol w:w="2093"/>
        <w:gridCol w:w="850"/>
        <w:gridCol w:w="1017"/>
        <w:gridCol w:w="1110"/>
        <w:gridCol w:w="992"/>
        <w:gridCol w:w="1134"/>
        <w:gridCol w:w="992"/>
      </w:tblGrid>
      <w:tr w:rsidR="00F23930" w:rsidTr="00292F11">
        <w:tc>
          <w:tcPr>
            <w:tcW w:w="2093" w:type="dxa"/>
          </w:tcPr>
          <w:p w:rsidR="00F23930" w:rsidRDefault="00F23930" w:rsidP="005F73EA"/>
        </w:tc>
        <w:tc>
          <w:tcPr>
            <w:tcW w:w="850" w:type="dxa"/>
          </w:tcPr>
          <w:p w:rsidR="00F23930" w:rsidRDefault="00F23930" w:rsidP="005F73EA">
            <w:pPr>
              <w:rPr>
                <w:rFonts w:ascii="Times New Roman" w:hAnsi="Times New Roman"/>
              </w:rPr>
            </w:pPr>
            <w:r>
              <w:rPr>
                <w:rFonts w:ascii="Times New Roman" w:hAnsi="Times New Roman"/>
              </w:rPr>
              <w:t>2012</w:t>
            </w:r>
          </w:p>
        </w:tc>
        <w:tc>
          <w:tcPr>
            <w:tcW w:w="1017" w:type="dxa"/>
          </w:tcPr>
          <w:p w:rsidR="00F23930" w:rsidRDefault="00F23930" w:rsidP="005F73EA">
            <w:pPr>
              <w:rPr>
                <w:rFonts w:ascii="Times New Roman" w:hAnsi="Times New Roman"/>
              </w:rPr>
            </w:pPr>
            <w:r>
              <w:rPr>
                <w:rFonts w:ascii="Times New Roman" w:hAnsi="Times New Roman"/>
              </w:rPr>
              <w:t>2011</w:t>
            </w:r>
          </w:p>
        </w:tc>
        <w:tc>
          <w:tcPr>
            <w:tcW w:w="1110" w:type="dxa"/>
          </w:tcPr>
          <w:p w:rsidR="00F23930" w:rsidRDefault="00F23930" w:rsidP="005F73EA">
            <w:pPr>
              <w:rPr>
                <w:rFonts w:ascii="Times New Roman" w:hAnsi="Times New Roman"/>
              </w:rPr>
            </w:pPr>
            <w:r>
              <w:rPr>
                <w:rFonts w:ascii="Times New Roman" w:hAnsi="Times New Roman"/>
              </w:rPr>
              <w:t>2010</w:t>
            </w:r>
          </w:p>
        </w:tc>
        <w:tc>
          <w:tcPr>
            <w:tcW w:w="992" w:type="dxa"/>
          </w:tcPr>
          <w:p w:rsidR="00F23930" w:rsidRDefault="00F23930" w:rsidP="005F73EA">
            <w:pPr>
              <w:rPr>
                <w:rFonts w:ascii="Times New Roman" w:hAnsi="Times New Roman"/>
              </w:rPr>
            </w:pPr>
            <w:r>
              <w:rPr>
                <w:rFonts w:ascii="Times New Roman" w:hAnsi="Times New Roman"/>
              </w:rPr>
              <w:t>2009</w:t>
            </w:r>
          </w:p>
        </w:tc>
        <w:tc>
          <w:tcPr>
            <w:tcW w:w="1134" w:type="dxa"/>
          </w:tcPr>
          <w:p w:rsidR="00F23930" w:rsidRDefault="002A6F89" w:rsidP="005F73EA">
            <w:pPr>
              <w:rPr>
                <w:rFonts w:ascii="Times New Roman" w:hAnsi="Times New Roman"/>
              </w:rPr>
            </w:pPr>
            <w:r>
              <w:rPr>
                <w:rFonts w:ascii="Times New Roman" w:hAnsi="Times New Roman"/>
              </w:rPr>
              <w:t xml:space="preserve">    </w:t>
            </w:r>
            <w:r w:rsidR="00F23930">
              <w:rPr>
                <w:rFonts w:ascii="Times New Roman" w:hAnsi="Times New Roman"/>
              </w:rPr>
              <w:t>2008</w:t>
            </w:r>
          </w:p>
        </w:tc>
        <w:tc>
          <w:tcPr>
            <w:tcW w:w="992" w:type="dxa"/>
          </w:tcPr>
          <w:p w:rsidR="00F23930" w:rsidRDefault="00F23930" w:rsidP="005F73EA">
            <w:pPr>
              <w:rPr>
                <w:rFonts w:ascii="Times New Roman" w:hAnsi="Times New Roman"/>
              </w:rPr>
            </w:pPr>
            <w:r>
              <w:rPr>
                <w:rFonts w:ascii="Times New Roman" w:hAnsi="Times New Roman"/>
              </w:rPr>
              <w:t>2007</w:t>
            </w:r>
          </w:p>
        </w:tc>
      </w:tr>
      <w:tr w:rsidR="000355DE" w:rsidTr="00292F11">
        <w:tc>
          <w:tcPr>
            <w:tcW w:w="2093" w:type="dxa"/>
          </w:tcPr>
          <w:p w:rsidR="000355DE" w:rsidRDefault="000355DE" w:rsidP="005F73EA">
            <w:r>
              <w:t>Danske Bank N.I.</w:t>
            </w:r>
          </w:p>
          <w:p w:rsidR="000355DE" w:rsidRDefault="000355DE" w:rsidP="005F73EA">
            <w:r>
              <w:t>Danske Bank Ireland</w:t>
            </w:r>
          </w:p>
        </w:tc>
        <w:tc>
          <w:tcPr>
            <w:tcW w:w="850" w:type="dxa"/>
          </w:tcPr>
          <w:p w:rsidR="000355DE" w:rsidRDefault="000355DE" w:rsidP="005F73EA">
            <w:r>
              <w:t>-</w:t>
            </w:r>
            <w:r w:rsidR="00277C5B">
              <w:t>111.2</w:t>
            </w:r>
          </w:p>
          <w:p w:rsidR="000355DE" w:rsidRDefault="000355DE" w:rsidP="005F73EA">
            <w:pPr>
              <w:rPr>
                <w:rFonts w:ascii="Times New Roman" w:hAnsi="Times New Roman"/>
              </w:rPr>
            </w:pPr>
            <w:r>
              <w:t>-</w:t>
            </w:r>
            <w:r w:rsidR="00277C5B">
              <w:t>112.0</w:t>
            </w:r>
          </w:p>
        </w:tc>
        <w:tc>
          <w:tcPr>
            <w:tcW w:w="1017" w:type="dxa"/>
          </w:tcPr>
          <w:p w:rsidR="000355DE" w:rsidRDefault="002D6C2B" w:rsidP="005F73EA">
            <w:r>
              <w:t xml:space="preserve">  </w:t>
            </w:r>
            <w:r w:rsidR="002A6F89">
              <w:t>-255.4</w:t>
            </w:r>
          </w:p>
          <w:p w:rsidR="000355DE" w:rsidRDefault="002D6C2B" w:rsidP="005F73EA">
            <w:r>
              <w:t xml:space="preserve">  </w:t>
            </w:r>
            <w:r w:rsidR="002A6F89">
              <w:t>-793.6</w:t>
            </w:r>
          </w:p>
        </w:tc>
        <w:tc>
          <w:tcPr>
            <w:tcW w:w="1110" w:type="dxa"/>
          </w:tcPr>
          <w:p w:rsidR="000355DE" w:rsidRDefault="002D6C2B" w:rsidP="005F73EA">
            <w:r>
              <w:t xml:space="preserve">    </w:t>
            </w:r>
            <w:r w:rsidR="002A6F89">
              <w:t>-112.0</w:t>
            </w:r>
          </w:p>
          <w:p w:rsidR="000355DE" w:rsidRDefault="002D6C2B" w:rsidP="005F73EA">
            <w:r>
              <w:t xml:space="preserve">    </w:t>
            </w:r>
            <w:r w:rsidR="000355DE">
              <w:t>-</w:t>
            </w:r>
            <w:r w:rsidR="002A6F89">
              <w:t>617.8</w:t>
            </w:r>
          </w:p>
        </w:tc>
        <w:tc>
          <w:tcPr>
            <w:tcW w:w="992" w:type="dxa"/>
          </w:tcPr>
          <w:p w:rsidR="000355DE" w:rsidRDefault="002D6C2B" w:rsidP="005F73EA">
            <w:r>
              <w:t xml:space="preserve">  </w:t>
            </w:r>
            <w:r w:rsidR="002A6F89">
              <w:t>-111.2</w:t>
            </w:r>
          </w:p>
          <w:p w:rsidR="000355DE" w:rsidRDefault="002D6C2B" w:rsidP="005F73EA">
            <w:r>
              <w:t xml:space="preserve">  </w:t>
            </w:r>
            <w:r w:rsidR="002A6F89">
              <w:t>-</w:t>
            </w:r>
            <w:r w:rsidR="000355DE">
              <w:t>661</w:t>
            </w:r>
          </w:p>
        </w:tc>
        <w:tc>
          <w:tcPr>
            <w:tcW w:w="1134" w:type="dxa"/>
          </w:tcPr>
          <w:p w:rsidR="000355DE" w:rsidRDefault="00292F11" w:rsidP="005F73EA">
            <w:r>
              <w:t xml:space="preserve">       </w:t>
            </w:r>
            <w:r w:rsidR="002A6F89">
              <w:t>1.0</w:t>
            </w:r>
          </w:p>
          <w:p w:rsidR="000355DE" w:rsidRDefault="00292F11" w:rsidP="005F73EA">
            <w:r>
              <w:t xml:space="preserve"> </w:t>
            </w:r>
            <w:r w:rsidR="002A6F89">
              <w:t>-</w:t>
            </w:r>
            <w:r w:rsidR="000355DE">
              <w:t>552</w:t>
            </w:r>
          </w:p>
        </w:tc>
        <w:tc>
          <w:tcPr>
            <w:tcW w:w="992" w:type="dxa"/>
          </w:tcPr>
          <w:p w:rsidR="000355DE" w:rsidRDefault="00585C78" w:rsidP="005F73EA">
            <w:r>
              <w:t xml:space="preserve">  </w:t>
            </w:r>
            <w:r w:rsidR="002A6F89">
              <w:t>37</w:t>
            </w:r>
          </w:p>
          <w:p w:rsidR="000355DE" w:rsidRDefault="00585C78" w:rsidP="005F73EA">
            <w:r>
              <w:t xml:space="preserve">    </w:t>
            </w:r>
            <w:r w:rsidR="000355DE">
              <w:t>0.013</w:t>
            </w:r>
          </w:p>
        </w:tc>
      </w:tr>
      <w:tr w:rsidR="000355DE" w:rsidTr="00292F11">
        <w:tc>
          <w:tcPr>
            <w:tcW w:w="2093" w:type="dxa"/>
          </w:tcPr>
          <w:p w:rsidR="000355DE" w:rsidRPr="00585C78" w:rsidRDefault="000355DE" w:rsidP="005F73EA">
            <w:pPr>
              <w:rPr>
                <w:vertAlign w:val="superscript"/>
              </w:rPr>
            </w:pPr>
            <w:r>
              <w:t>Ulster Bank</w:t>
            </w:r>
            <w:r w:rsidR="00585C78" w:rsidRPr="00585C78">
              <w:rPr>
                <w:vertAlign w:val="superscript"/>
              </w:rPr>
              <w:t>1</w:t>
            </w:r>
          </w:p>
        </w:tc>
        <w:tc>
          <w:tcPr>
            <w:tcW w:w="850" w:type="dxa"/>
          </w:tcPr>
          <w:p w:rsidR="000355DE" w:rsidRDefault="000355DE" w:rsidP="005F73EA">
            <w:pPr>
              <w:rPr>
                <w:rFonts w:ascii="Times New Roman" w:hAnsi="Times New Roman"/>
              </w:rPr>
            </w:pPr>
          </w:p>
        </w:tc>
        <w:tc>
          <w:tcPr>
            <w:tcW w:w="1017" w:type="dxa"/>
          </w:tcPr>
          <w:p w:rsidR="000355DE" w:rsidRDefault="002D6C2B" w:rsidP="005F73EA">
            <w:r>
              <w:t>-2811</w:t>
            </w:r>
          </w:p>
        </w:tc>
        <w:tc>
          <w:tcPr>
            <w:tcW w:w="1110" w:type="dxa"/>
          </w:tcPr>
          <w:p w:rsidR="000355DE" w:rsidRDefault="002D6C2B" w:rsidP="005F73EA">
            <w:r>
              <w:t xml:space="preserve">  </w:t>
            </w:r>
            <w:r w:rsidR="006D5FB0">
              <w:t>-3322</w:t>
            </w:r>
          </w:p>
        </w:tc>
        <w:tc>
          <w:tcPr>
            <w:tcW w:w="992" w:type="dxa"/>
          </w:tcPr>
          <w:p w:rsidR="000355DE" w:rsidRDefault="006D5FB0" w:rsidP="005F73EA">
            <w:r>
              <w:t>-1233</w:t>
            </w:r>
          </w:p>
        </w:tc>
        <w:tc>
          <w:tcPr>
            <w:tcW w:w="1134" w:type="dxa"/>
          </w:tcPr>
          <w:p w:rsidR="000355DE" w:rsidRDefault="00292F11" w:rsidP="005F73EA">
            <w:r>
              <w:t xml:space="preserve"> </w:t>
            </w:r>
            <w:r w:rsidR="006D5FB0">
              <w:t>-</w:t>
            </w:r>
            <w:r w:rsidR="006B1436">
              <w:t>168</w:t>
            </w:r>
          </w:p>
        </w:tc>
        <w:tc>
          <w:tcPr>
            <w:tcW w:w="992" w:type="dxa"/>
          </w:tcPr>
          <w:p w:rsidR="000355DE" w:rsidRDefault="006B1436" w:rsidP="005F73EA">
            <w:r>
              <w:t>344</w:t>
            </w:r>
          </w:p>
        </w:tc>
      </w:tr>
      <w:tr w:rsidR="000355DE" w:rsidTr="00292F11">
        <w:tc>
          <w:tcPr>
            <w:tcW w:w="2093" w:type="dxa"/>
          </w:tcPr>
          <w:p w:rsidR="000355DE" w:rsidRDefault="000355DE" w:rsidP="005F73EA">
            <w:r>
              <w:t>Bank of Ireland</w:t>
            </w:r>
          </w:p>
        </w:tc>
        <w:tc>
          <w:tcPr>
            <w:tcW w:w="850" w:type="dxa"/>
          </w:tcPr>
          <w:p w:rsidR="000355DE" w:rsidRDefault="000355DE" w:rsidP="005F73EA">
            <w:pPr>
              <w:rPr>
                <w:rFonts w:ascii="Times New Roman" w:hAnsi="Times New Roman"/>
              </w:rPr>
            </w:pPr>
          </w:p>
        </w:tc>
        <w:tc>
          <w:tcPr>
            <w:tcW w:w="1017" w:type="dxa"/>
          </w:tcPr>
          <w:p w:rsidR="000355DE" w:rsidRDefault="002D6C2B" w:rsidP="005F73EA">
            <w:r>
              <w:t xml:space="preserve">  </w:t>
            </w:r>
            <w:r w:rsidR="002A6F89">
              <w:t>-</w:t>
            </w:r>
            <w:r w:rsidR="000355DE">
              <w:t>190</w:t>
            </w:r>
          </w:p>
        </w:tc>
        <w:tc>
          <w:tcPr>
            <w:tcW w:w="1110" w:type="dxa"/>
          </w:tcPr>
          <w:p w:rsidR="000355DE" w:rsidRDefault="002D6C2B" w:rsidP="005F73EA">
            <w:r>
              <w:t xml:space="preserve">    </w:t>
            </w:r>
            <w:r w:rsidR="002A6F89">
              <w:t>-</w:t>
            </w:r>
            <w:r w:rsidR="000355DE">
              <w:t>950</w:t>
            </w:r>
          </w:p>
        </w:tc>
        <w:tc>
          <w:tcPr>
            <w:tcW w:w="992" w:type="dxa"/>
          </w:tcPr>
          <w:p w:rsidR="000355DE" w:rsidRDefault="002A6F89" w:rsidP="005F73EA">
            <w:r>
              <w:t>-1</w:t>
            </w:r>
            <w:r w:rsidR="000355DE">
              <w:t>813</w:t>
            </w:r>
          </w:p>
        </w:tc>
        <w:tc>
          <w:tcPr>
            <w:tcW w:w="1134" w:type="dxa"/>
          </w:tcPr>
          <w:p w:rsidR="000355DE" w:rsidRDefault="002D6C2B" w:rsidP="005F73EA">
            <w:r>
              <w:t xml:space="preserve">    </w:t>
            </w:r>
            <w:r w:rsidR="00292F11">
              <w:t xml:space="preserve">   </w:t>
            </w:r>
            <w:r w:rsidR="000355DE">
              <w:t>-0.007</w:t>
            </w:r>
          </w:p>
        </w:tc>
        <w:tc>
          <w:tcPr>
            <w:tcW w:w="992" w:type="dxa"/>
          </w:tcPr>
          <w:p w:rsidR="000355DE" w:rsidRDefault="00585C78" w:rsidP="005F73EA">
            <w:r>
              <w:t>1</w:t>
            </w:r>
            <w:r w:rsidR="000355DE">
              <w:t>933</w:t>
            </w:r>
          </w:p>
        </w:tc>
      </w:tr>
      <w:tr w:rsidR="000355DE" w:rsidTr="00292F11">
        <w:tc>
          <w:tcPr>
            <w:tcW w:w="2093" w:type="dxa"/>
          </w:tcPr>
          <w:p w:rsidR="000355DE" w:rsidRDefault="000355DE" w:rsidP="005F73EA">
            <w:r>
              <w:t>Allied Irish Banks</w:t>
            </w:r>
          </w:p>
        </w:tc>
        <w:tc>
          <w:tcPr>
            <w:tcW w:w="850" w:type="dxa"/>
          </w:tcPr>
          <w:p w:rsidR="000355DE" w:rsidRDefault="000355DE" w:rsidP="005F73EA">
            <w:pPr>
              <w:rPr>
                <w:rFonts w:ascii="Times New Roman" w:hAnsi="Times New Roman"/>
              </w:rPr>
            </w:pPr>
          </w:p>
        </w:tc>
        <w:tc>
          <w:tcPr>
            <w:tcW w:w="1017" w:type="dxa"/>
          </w:tcPr>
          <w:p w:rsidR="000355DE" w:rsidRDefault="002A6F89" w:rsidP="005F73EA">
            <w:r>
              <w:t>-5</w:t>
            </w:r>
            <w:r w:rsidR="000355DE">
              <w:t>108</w:t>
            </w:r>
          </w:p>
        </w:tc>
        <w:tc>
          <w:tcPr>
            <w:tcW w:w="1110" w:type="dxa"/>
          </w:tcPr>
          <w:p w:rsidR="000355DE" w:rsidRDefault="002A6F89" w:rsidP="005F73EA">
            <w:r>
              <w:t>-12</w:t>
            </w:r>
            <w:r w:rsidR="000355DE">
              <w:t>071</w:t>
            </w:r>
          </w:p>
        </w:tc>
        <w:tc>
          <w:tcPr>
            <w:tcW w:w="992" w:type="dxa"/>
          </w:tcPr>
          <w:p w:rsidR="000355DE" w:rsidRDefault="002A6F89" w:rsidP="005F73EA">
            <w:r>
              <w:t>-2</w:t>
            </w:r>
            <w:r w:rsidR="000355DE">
              <w:t>662</w:t>
            </w:r>
          </w:p>
        </w:tc>
        <w:tc>
          <w:tcPr>
            <w:tcW w:w="1134" w:type="dxa"/>
          </w:tcPr>
          <w:p w:rsidR="000355DE" w:rsidRDefault="006D5FB0" w:rsidP="005F73EA">
            <w:r>
              <w:t>1034</w:t>
            </w:r>
          </w:p>
        </w:tc>
        <w:tc>
          <w:tcPr>
            <w:tcW w:w="992" w:type="dxa"/>
          </w:tcPr>
          <w:p w:rsidR="000355DE" w:rsidRDefault="006D5FB0" w:rsidP="005F73EA">
            <w:pPr>
              <w:rPr>
                <w:rFonts w:ascii="Times New Roman" w:hAnsi="Times New Roman"/>
              </w:rPr>
            </w:pPr>
            <w:r>
              <w:rPr>
                <w:rFonts w:ascii="Times New Roman" w:hAnsi="Times New Roman"/>
              </w:rPr>
              <w:t>2511</w:t>
            </w:r>
          </w:p>
        </w:tc>
      </w:tr>
      <w:tr w:rsidR="000355DE" w:rsidTr="00292F11">
        <w:tc>
          <w:tcPr>
            <w:tcW w:w="2093" w:type="dxa"/>
          </w:tcPr>
          <w:p w:rsidR="000355DE" w:rsidRDefault="00585C78" w:rsidP="005F73EA">
            <w:pPr>
              <w:rPr>
                <w:rFonts w:ascii="Times New Roman" w:hAnsi="Times New Roman"/>
              </w:rPr>
            </w:pPr>
            <w:r>
              <w:rPr>
                <w:rFonts w:ascii="Times New Roman" w:hAnsi="Times New Roman"/>
              </w:rPr>
              <w:t>Total</w:t>
            </w:r>
          </w:p>
        </w:tc>
        <w:tc>
          <w:tcPr>
            <w:tcW w:w="850" w:type="dxa"/>
          </w:tcPr>
          <w:p w:rsidR="000355DE" w:rsidRDefault="000355DE" w:rsidP="005F73EA">
            <w:pPr>
              <w:rPr>
                <w:rFonts w:ascii="Times New Roman" w:hAnsi="Times New Roman"/>
              </w:rPr>
            </w:pPr>
          </w:p>
        </w:tc>
        <w:tc>
          <w:tcPr>
            <w:tcW w:w="1017" w:type="dxa"/>
          </w:tcPr>
          <w:p w:rsidR="000355DE" w:rsidRDefault="00585C78" w:rsidP="005F73EA">
            <w:pPr>
              <w:rPr>
                <w:rFonts w:ascii="Times New Roman" w:hAnsi="Times New Roman"/>
              </w:rPr>
            </w:pPr>
            <w:r>
              <w:rPr>
                <w:rFonts w:ascii="Times New Roman" w:hAnsi="Times New Roman"/>
              </w:rPr>
              <w:t>-9157</w:t>
            </w:r>
          </w:p>
        </w:tc>
        <w:tc>
          <w:tcPr>
            <w:tcW w:w="1110" w:type="dxa"/>
          </w:tcPr>
          <w:p w:rsidR="000355DE" w:rsidRDefault="00585C78" w:rsidP="005F73EA">
            <w:pPr>
              <w:rPr>
                <w:rFonts w:ascii="Times New Roman" w:hAnsi="Times New Roman"/>
              </w:rPr>
            </w:pPr>
            <w:r>
              <w:rPr>
                <w:rFonts w:ascii="Times New Roman" w:hAnsi="Times New Roman"/>
              </w:rPr>
              <w:t>-17072.8</w:t>
            </w:r>
          </w:p>
        </w:tc>
        <w:tc>
          <w:tcPr>
            <w:tcW w:w="992" w:type="dxa"/>
          </w:tcPr>
          <w:p w:rsidR="000355DE" w:rsidRDefault="00585C78" w:rsidP="005F73EA">
            <w:pPr>
              <w:rPr>
                <w:rFonts w:ascii="Times New Roman" w:hAnsi="Times New Roman"/>
              </w:rPr>
            </w:pPr>
            <w:r>
              <w:rPr>
                <w:rFonts w:ascii="Times New Roman" w:hAnsi="Times New Roman"/>
              </w:rPr>
              <w:t>-6480</w:t>
            </w:r>
          </w:p>
        </w:tc>
        <w:tc>
          <w:tcPr>
            <w:tcW w:w="1134" w:type="dxa"/>
          </w:tcPr>
          <w:p w:rsidR="000355DE" w:rsidRDefault="00585C78" w:rsidP="005F73EA">
            <w:pPr>
              <w:rPr>
                <w:rFonts w:ascii="Times New Roman" w:hAnsi="Times New Roman"/>
              </w:rPr>
            </w:pPr>
            <w:r>
              <w:rPr>
                <w:rFonts w:ascii="Times New Roman" w:hAnsi="Times New Roman"/>
              </w:rPr>
              <w:t xml:space="preserve">  315</w:t>
            </w:r>
          </w:p>
        </w:tc>
        <w:tc>
          <w:tcPr>
            <w:tcW w:w="992" w:type="dxa"/>
          </w:tcPr>
          <w:p w:rsidR="000355DE" w:rsidRDefault="00585C78" w:rsidP="005F73EA">
            <w:pPr>
              <w:rPr>
                <w:rFonts w:ascii="Times New Roman" w:hAnsi="Times New Roman"/>
              </w:rPr>
            </w:pPr>
            <w:r>
              <w:rPr>
                <w:rFonts w:ascii="Times New Roman" w:hAnsi="Times New Roman"/>
              </w:rPr>
              <w:t>4825</w:t>
            </w:r>
          </w:p>
        </w:tc>
      </w:tr>
      <w:tr w:rsidR="000355DE" w:rsidTr="00292F11">
        <w:tc>
          <w:tcPr>
            <w:tcW w:w="2093" w:type="dxa"/>
          </w:tcPr>
          <w:p w:rsidR="000355DE" w:rsidRDefault="000355DE" w:rsidP="005F73EA">
            <w:pPr>
              <w:rPr>
                <w:rFonts w:ascii="Times New Roman" w:hAnsi="Times New Roman"/>
              </w:rPr>
            </w:pPr>
          </w:p>
        </w:tc>
        <w:tc>
          <w:tcPr>
            <w:tcW w:w="850" w:type="dxa"/>
          </w:tcPr>
          <w:p w:rsidR="000355DE" w:rsidRDefault="000355DE" w:rsidP="005F73EA">
            <w:pPr>
              <w:rPr>
                <w:rFonts w:ascii="Times New Roman" w:hAnsi="Times New Roman"/>
              </w:rPr>
            </w:pPr>
          </w:p>
        </w:tc>
        <w:tc>
          <w:tcPr>
            <w:tcW w:w="1017" w:type="dxa"/>
          </w:tcPr>
          <w:p w:rsidR="000355DE" w:rsidRDefault="000355DE" w:rsidP="005F73EA">
            <w:pPr>
              <w:rPr>
                <w:rFonts w:ascii="Times New Roman" w:hAnsi="Times New Roman"/>
              </w:rPr>
            </w:pPr>
          </w:p>
        </w:tc>
        <w:tc>
          <w:tcPr>
            <w:tcW w:w="1110" w:type="dxa"/>
          </w:tcPr>
          <w:p w:rsidR="000355DE" w:rsidRDefault="000355DE" w:rsidP="005F73EA">
            <w:pPr>
              <w:rPr>
                <w:rFonts w:ascii="Times New Roman" w:hAnsi="Times New Roman"/>
              </w:rPr>
            </w:pPr>
          </w:p>
        </w:tc>
        <w:tc>
          <w:tcPr>
            <w:tcW w:w="992" w:type="dxa"/>
          </w:tcPr>
          <w:p w:rsidR="000355DE" w:rsidRDefault="000355DE" w:rsidP="005F73EA">
            <w:pPr>
              <w:rPr>
                <w:rFonts w:ascii="Times New Roman" w:hAnsi="Times New Roman"/>
              </w:rPr>
            </w:pPr>
          </w:p>
        </w:tc>
        <w:tc>
          <w:tcPr>
            <w:tcW w:w="1134" w:type="dxa"/>
          </w:tcPr>
          <w:p w:rsidR="000355DE" w:rsidRDefault="000355DE" w:rsidP="005F73EA">
            <w:pPr>
              <w:rPr>
                <w:rFonts w:ascii="Times New Roman" w:hAnsi="Times New Roman"/>
              </w:rPr>
            </w:pPr>
          </w:p>
        </w:tc>
        <w:tc>
          <w:tcPr>
            <w:tcW w:w="992" w:type="dxa"/>
          </w:tcPr>
          <w:p w:rsidR="000355DE" w:rsidRDefault="000355DE" w:rsidP="005F73EA">
            <w:pPr>
              <w:rPr>
                <w:rFonts w:ascii="Times New Roman" w:hAnsi="Times New Roman"/>
              </w:rPr>
            </w:pPr>
          </w:p>
        </w:tc>
      </w:tr>
    </w:tbl>
    <w:p w:rsidR="00042D56" w:rsidRPr="00A56471" w:rsidRDefault="00585C78" w:rsidP="005F73EA">
      <w:pPr>
        <w:spacing w:line="240" w:lineRule="auto"/>
        <w:rPr>
          <w:sz w:val="18"/>
        </w:rPr>
      </w:pPr>
      <w:r w:rsidRPr="00685027">
        <w:rPr>
          <w:sz w:val="18"/>
        </w:rPr>
        <w:t>Note 1 Refers to Ulster bank Group</w:t>
      </w:r>
      <w:r w:rsidR="00C82F85">
        <w:rPr>
          <w:sz w:val="18"/>
        </w:rPr>
        <w:t xml:space="preserve"> </w:t>
      </w:r>
      <w:r w:rsidR="000355DE" w:rsidRPr="00292F11">
        <w:rPr>
          <w:sz w:val="18"/>
        </w:rPr>
        <w:t>Source: Annual Report and Accounts</w:t>
      </w:r>
    </w:p>
    <w:p w:rsidR="00042D56" w:rsidRDefault="00292F11" w:rsidP="005F73EA">
      <w:pPr>
        <w:spacing w:line="240" w:lineRule="auto"/>
        <w:rPr>
          <w:rFonts w:ascii="Times New Roman" w:hAnsi="Times New Roman"/>
        </w:rPr>
      </w:pPr>
      <w:r>
        <w:rPr>
          <w:rFonts w:ascii="Times New Roman" w:hAnsi="Times New Roman"/>
        </w:rPr>
        <w:t xml:space="preserve">Chart (1) shows </w:t>
      </w:r>
      <w:r w:rsidR="000E1DD7">
        <w:rPr>
          <w:rFonts w:ascii="Times New Roman" w:hAnsi="Times New Roman"/>
        </w:rPr>
        <w:t xml:space="preserve">GDP and </w:t>
      </w:r>
      <w:r w:rsidR="00F23930">
        <w:rPr>
          <w:rFonts w:ascii="Times New Roman" w:hAnsi="Times New Roman"/>
        </w:rPr>
        <w:t>GNP</w:t>
      </w:r>
      <w:r w:rsidR="000355DE">
        <w:rPr>
          <w:rFonts w:ascii="Times New Roman" w:hAnsi="Times New Roman"/>
        </w:rPr>
        <w:t xml:space="preserve"> </w:t>
      </w:r>
      <w:r>
        <w:rPr>
          <w:rFonts w:ascii="Times New Roman" w:hAnsi="Times New Roman"/>
        </w:rPr>
        <w:t>growth has</w:t>
      </w:r>
      <w:r w:rsidR="000355DE">
        <w:rPr>
          <w:rFonts w:ascii="Times New Roman" w:hAnsi="Times New Roman"/>
        </w:rPr>
        <w:t xml:space="preserve"> fallen.</w:t>
      </w:r>
      <w:r>
        <w:rPr>
          <w:rFonts w:ascii="Times New Roman" w:hAnsi="Times New Roman"/>
        </w:rPr>
        <w:t xml:space="preserve">  </w:t>
      </w:r>
    </w:p>
    <w:p w:rsidR="00042D56" w:rsidRPr="00C24728" w:rsidRDefault="00292F11" w:rsidP="005F73EA">
      <w:pPr>
        <w:spacing w:line="240" w:lineRule="auto"/>
        <w:rPr>
          <w:rFonts w:ascii="Times New Roman" w:hAnsi="Times New Roman"/>
        </w:rPr>
      </w:pPr>
      <w:r>
        <w:rPr>
          <w:rFonts w:ascii="Times New Roman" w:hAnsi="Times New Roman"/>
        </w:rPr>
        <w:t>Note the divergence between GDP and GNP.</w:t>
      </w:r>
    </w:p>
    <w:p w:rsidR="00C82F85" w:rsidRDefault="00292F11" w:rsidP="005F73EA">
      <w:pPr>
        <w:spacing w:after="0" w:line="240" w:lineRule="auto"/>
        <w:jc w:val="center"/>
        <w:rPr>
          <w:rFonts w:ascii="Times New Roman" w:hAnsi="Times New Roman"/>
        </w:rPr>
      </w:pPr>
      <w:r>
        <w:rPr>
          <w:rFonts w:ascii="Times New Roman" w:hAnsi="Times New Roman"/>
        </w:rPr>
        <w:t>Chart (1)</w:t>
      </w:r>
    </w:p>
    <w:p w:rsidR="00042D56" w:rsidRPr="00A56471" w:rsidRDefault="00292F11" w:rsidP="005F73EA">
      <w:pPr>
        <w:spacing w:after="0" w:line="240" w:lineRule="auto"/>
        <w:jc w:val="center"/>
        <w:rPr>
          <w:rFonts w:ascii="Times New Roman" w:hAnsi="Times New Roman"/>
        </w:rPr>
      </w:pPr>
      <w:r>
        <w:rPr>
          <w:rFonts w:ascii="Times New Roman" w:hAnsi="Times New Roman"/>
        </w:rPr>
        <w:t>GNP and GDP Growth 2000 -2011</w:t>
      </w:r>
    </w:p>
    <w:p w:rsidR="00C82F85" w:rsidRDefault="00685027" w:rsidP="005F73EA">
      <w:pPr>
        <w:spacing w:line="240" w:lineRule="auto"/>
        <w:rPr>
          <w:rFonts w:ascii="Times New Roman" w:hAnsi="Times New Roman"/>
        </w:rPr>
      </w:pPr>
      <w:r>
        <w:rPr>
          <w:noProof/>
          <w:lang w:val="en-GB" w:eastAsia="en-GB"/>
        </w:rPr>
        <w:drawing>
          <wp:inline distT="0" distB="0" distL="0" distR="0">
            <wp:extent cx="4887321" cy="3187521"/>
            <wp:effectExtent l="19050" t="0" r="8529" b="0"/>
            <wp:docPr id="1" name="Picture 1" descr="Figure 3: Annual Growth in Real GDP and Real GNP: 2000 –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3: Annual Growth in Real GDP and Real GNP: 2000 – 2011"/>
                    <pic:cNvPicPr>
                      <a:picLocks noChangeAspect="1" noChangeArrowheads="1"/>
                    </pic:cNvPicPr>
                  </pic:nvPicPr>
                  <pic:blipFill>
                    <a:blip r:embed="rId12" cstate="print"/>
                    <a:srcRect/>
                    <a:stretch>
                      <a:fillRect/>
                    </a:stretch>
                  </pic:blipFill>
                  <pic:spPr bwMode="auto">
                    <a:xfrm>
                      <a:off x="0" y="0"/>
                      <a:ext cx="4887595" cy="3187700"/>
                    </a:xfrm>
                    <a:prstGeom prst="rect">
                      <a:avLst/>
                    </a:prstGeom>
                    <a:noFill/>
                    <a:ln w="9525">
                      <a:noFill/>
                      <a:miter lim="800000"/>
                      <a:headEnd/>
                      <a:tailEnd/>
                    </a:ln>
                  </pic:spPr>
                </pic:pic>
              </a:graphicData>
            </a:graphic>
          </wp:inline>
        </w:drawing>
      </w:r>
    </w:p>
    <w:p w:rsidR="00C82F85" w:rsidRPr="00DA31CE" w:rsidRDefault="00DA31CE" w:rsidP="005F73EA">
      <w:pPr>
        <w:spacing w:line="240" w:lineRule="auto"/>
        <w:rPr>
          <w:rFonts w:ascii="Times New Roman" w:hAnsi="Times New Roman"/>
          <w:lang w:val="en-US"/>
        </w:rPr>
      </w:pPr>
      <w:r>
        <w:rPr>
          <w:rFonts w:ascii="Times New Roman" w:hAnsi="Times New Roman"/>
          <w:lang w:val="en-US"/>
        </w:rPr>
        <w:t>Source:- ESRI, available at:-</w:t>
      </w:r>
      <w:r w:rsidRPr="00DA31CE">
        <w:t xml:space="preserve"> </w:t>
      </w:r>
      <w:r w:rsidRPr="00DA31CE">
        <w:rPr>
          <w:rFonts w:ascii="Times New Roman" w:hAnsi="Times New Roman"/>
          <w:lang w:val="en-US"/>
        </w:rPr>
        <w:t>http://www.esri.ie/irish_economy/</w:t>
      </w:r>
    </w:p>
    <w:p w:rsidR="003500DD" w:rsidRDefault="003500DD" w:rsidP="005F73EA">
      <w:pPr>
        <w:spacing w:line="240" w:lineRule="auto"/>
        <w:rPr>
          <w:rFonts w:ascii="Times New Roman" w:hAnsi="Times New Roman"/>
        </w:rPr>
      </w:pPr>
    </w:p>
    <w:p w:rsidR="003500DD" w:rsidRDefault="003500DD" w:rsidP="005F73EA">
      <w:pPr>
        <w:spacing w:line="240" w:lineRule="auto"/>
        <w:rPr>
          <w:rFonts w:ascii="Times New Roman" w:hAnsi="Times New Roman"/>
        </w:rPr>
      </w:pPr>
    </w:p>
    <w:p w:rsidR="003500DD" w:rsidRDefault="003500DD" w:rsidP="005F73EA">
      <w:pPr>
        <w:spacing w:line="240" w:lineRule="auto"/>
        <w:rPr>
          <w:rFonts w:ascii="Times New Roman" w:hAnsi="Times New Roman"/>
        </w:rPr>
      </w:pPr>
    </w:p>
    <w:p w:rsidR="005F73EA" w:rsidRDefault="005F73EA" w:rsidP="005F73EA">
      <w:pPr>
        <w:spacing w:line="240" w:lineRule="auto"/>
        <w:rPr>
          <w:rFonts w:ascii="Times New Roman" w:hAnsi="Times New Roman"/>
        </w:rPr>
      </w:pPr>
    </w:p>
    <w:p w:rsidR="005F73EA" w:rsidRDefault="005F73EA" w:rsidP="005F73EA">
      <w:pPr>
        <w:spacing w:line="240" w:lineRule="auto"/>
        <w:rPr>
          <w:rFonts w:ascii="Times New Roman" w:hAnsi="Times New Roman"/>
        </w:rPr>
      </w:pPr>
    </w:p>
    <w:p w:rsidR="003500DD" w:rsidRDefault="003500DD" w:rsidP="005F73EA">
      <w:pPr>
        <w:spacing w:line="240" w:lineRule="auto"/>
        <w:rPr>
          <w:rFonts w:ascii="Times New Roman" w:hAnsi="Times New Roman"/>
        </w:rPr>
      </w:pPr>
    </w:p>
    <w:p w:rsidR="00A56471" w:rsidRPr="005F73EA" w:rsidRDefault="002D750F" w:rsidP="005F73EA">
      <w:pPr>
        <w:spacing w:line="240" w:lineRule="auto"/>
        <w:rPr>
          <w:rFonts w:ascii="Times New Roman" w:hAnsi="Times New Roman"/>
          <w:lang w:val="en-US"/>
        </w:rPr>
      </w:pPr>
      <w:r>
        <w:rPr>
          <w:rFonts w:ascii="Times New Roman" w:hAnsi="Times New Roman"/>
        </w:rPr>
        <w:lastRenderedPageBreak/>
        <w:t xml:space="preserve">While </w:t>
      </w:r>
      <w:r w:rsidR="00685027">
        <w:rPr>
          <w:rFonts w:ascii="Times New Roman" w:hAnsi="Times New Roman"/>
        </w:rPr>
        <w:t>Unemployment has risen</w:t>
      </w:r>
      <w:r w:rsidR="00A56471" w:rsidRPr="00A56471">
        <w:rPr>
          <w:rFonts w:ascii="Times New Roman" w:hAnsi="Times New Roman"/>
        </w:rPr>
        <w:t xml:space="preserve"> </w:t>
      </w:r>
      <w:r w:rsidR="005F73EA">
        <w:rPr>
          <w:rFonts w:ascii="Times New Roman" w:hAnsi="Times New Roman"/>
          <w:lang w:val="en-US"/>
        </w:rPr>
        <w:t>and is forecast to remain high.</w:t>
      </w:r>
    </w:p>
    <w:p w:rsidR="00042D56" w:rsidRPr="00A56471" w:rsidRDefault="00A56471" w:rsidP="005F73EA">
      <w:pPr>
        <w:spacing w:line="240" w:lineRule="auto"/>
        <w:rPr>
          <w:rFonts w:ascii="Times New Roman" w:hAnsi="Times New Roman"/>
        </w:rPr>
      </w:pPr>
      <w:r>
        <w:rPr>
          <w:rFonts w:ascii="Times New Roman" w:hAnsi="Times New Roman"/>
        </w:rPr>
        <w:t xml:space="preserve">                                                             Table  (2)</w:t>
      </w:r>
    </w:p>
    <w:p w:rsidR="00A56471" w:rsidRPr="00A56471" w:rsidRDefault="00A56471" w:rsidP="005F73EA">
      <w:pPr>
        <w:spacing w:line="240" w:lineRule="auto"/>
        <w:rPr>
          <w:rFonts w:ascii="Times New Roman" w:hAnsi="Times New Roman"/>
        </w:rPr>
      </w:pPr>
    </w:p>
    <w:tbl>
      <w:tblPr>
        <w:tblStyle w:val="TableGrid"/>
        <w:tblpPr w:leftFromText="180" w:rightFromText="180" w:vertAnchor="page" w:horzAnchor="margin" w:tblpY="2435"/>
        <w:tblW w:w="9256" w:type="dxa"/>
        <w:tblLook w:val="04A0" w:firstRow="1" w:lastRow="0" w:firstColumn="1" w:lastColumn="0" w:noHBand="0" w:noVBand="1"/>
      </w:tblPr>
      <w:tblGrid>
        <w:gridCol w:w="9256"/>
      </w:tblGrid>
      <w:tr w:rsidR="00A56471" w:rsidRPr="002D750F" w:rsidTr="00A56471">
        <w:trPr>
          <w:trHeight w:val="2117"/>
        </w:trPr>
        <w:tc>
          <w:tcPr>
            <w:tcW w:w="9256" w:type="dxa"/>
          </w:tcPr>
          <w:tbl>
            <w:tblPr>
              <w:tblpPr w:leftFromText="180" w:rightFromText="180" w:horzAnchor="margin" w:tblpX="709" w:tblpY="832"/>
              <w:tblOverlap w:val="never"/>
              <w:tblW w:w="8224" w:type="dxa"/>
              <w:tblLook w:val="04A0" w:firstRow="1" w:lastRow="0" w:firstColumn="1" w:lastColumn="0" w:noHBand="0" w:noVBand="1"/>
            </w:tblPr>
            <w:tblGrid>
              <w:gridCol w:w="1146"/>
              <w:gridCol w:w="621"/>
              <w:gridCol w:w="732"/>
              <w:gridCol w:w="649"/>
              <w:gridCol w:w="774"/>
              <w:gridCol w:w="711"/>
              <w:gridCol w:w="711"/>
              <w:gridCol w:w="621"/>
              <w:gridCol w:w="745"/>
              <w:gridCol w:w="621"/>
              <w:gridCol w:w="762"/>
              <w:gridCol w:w="840"/>
            </w:tblGrid>
            <w:tr w:rsidR="00A56471" w:rsidRPr="002D750F" w:rsidTr="003D40DC">
              <w:trPr>
                <w:trHeight w:val="424"/>
              </w:trPr>
              <w:tc>
                <w:tcPr>
                  <w:tcW w:w="437"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rPr>
                      <w:rFonts w:ascii="Times New Roman" w:eastAsia="Times New Roman" w:hAnsi="Times New Roman" w:cs="Times New Roman"/>
                      <w:color w:val="000000"/>
                      <w:sz w:val="18"/>
                      <w:lang w:eastAsia="en-IE"/>
                    </w:rPr>
                  </w:pPr>
                </w:p>
              </w:tc>
              <w:tc>
                <w:tcPr>
                  <w:tcW w:w="62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2005</w:t>
                  </w:r>
                </w:p>
              </w:tc>
              <w:tc>
                <w:tcPr>
                  <w:tcW w:w="732"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2006</w:t>
                  </w:r>
                </w:p>
              </w:tc>
              <w:tc>
                <w:tcPr>
                  <w:tcW w:w="649"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center"/>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2007</w:t>
                  </w:r>
                </w:p>
              </w:tc>
              <w:tc>
                <w:tcPr>
                  <w:tcW w:w="774"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2008</w:t>
                  </w:r>
                </w:p>
              </w:tc>
              <w:tc>
                <w:tcPr>
                  <w:tcW w:w="71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2009</w:t>
                  </w:r>
                </w:p>
              </w:tc>
              <w:tc>
                <w:tcPr>
                  <w:tcW w:w="71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2010</w:t>
                  </w:r>
                </w:p>
              </w:tc>
              <w:tc>
                <w:tcPr>
                  <w:tcW w:w="62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2011</w:t>
                  </w:r>
                </w:p>
              </w:tc>
              <w:tc>
                <w:tcPr>
                  <w:tcW w:w="745"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2012</w:t>
                  </w:r>
                </w:p>
              </w:tc>
              <w:tc>
                <w:tcPr>
                  <w:tcW w:w="62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2013</w:t>
                  </w:r>
                </w:p>
              </w:tc>
              <w:tc>
                <w:tcPr>
                  <w:tcW w:w="762"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2014</w:t>
                  </w:r>
                </w:p>
              </w:tc>
              <w:tc>
                <w:tcPr>
                  <w:tcW w:w="840"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2015</w:t>
                  </w:r>
                </w:p>
              </w:tc>
            </w:tr>
            <w:tr w:rsidR="00A56471" w:rsidRPr="002D750F" w:rsidTr="003D40DC">
              <w:trPr>
                <w:trHeight w:val="288"/>
              </w:trPr>
              <w:tc>
                <w:tcPr>
                  <w:tcW w:w="437"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GDP constant prices</w:t>
                  </w:r>
                </w:p>
              </w:tc>
              <w:tc>
                <w:tcPr>
                  <w:tcW w:w="62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5.876</w:t>
                  </w:r>
                </w:p>
              </w:tc>
              <w:tc>
                <w:tcPr>
                  <w:tcW w:w="732"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5.404</w:t>
                  </w:r>
                </w:p>
              </w:tc>
              <w:tc>
                <w:tcPr>
                  <w:tcW w:w="649"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5.445</w:t>
                  </w:r>
                </w:p>
              </w:tc>
              <w:tc>
                <w:tcPr>
                  <w:tcW w:w="774"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-2.109</w:t>
                  </w:r>
                </w:p>
              </w:tc>
              <w:tc>
                <w:tcPr>
                  <w:tcW w:w="71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-5.456</w:t>
                  </w:r>
                </w:p>
              </w:tc>
              <w:tc>
                <w:tcPr>
                  <w:tcW w:w="71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-0.766</w:t>
                  </w:r>
                </w:p>
              </w:tc>
              <w:tc>
                <w:tcPr>
                  <w:tcW w:w="62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1.431</w:t>
                  </w:r>
                </w:p>
              </w:tc>
              <w:tc>
                <w:tcPr>
                  <w:tcW w:w="745"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0.353</w:t>
                  </w:r>
                </w:p>
              </w:tc>
              <w:tc>
                <w:tcPr>
                  <w:tcW w:w="62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1.394</w:t>
                  </w:r>
                </w:p>
              </w:tc>
              <w:tc>
                <w:tcPr>
                  <w:tcW w:w="762"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2.486</w:t>
                  </w:r>
                </w:p>
              </w:tc>
              <w:tc>
                <w:tcPr>
                  <w:tcW w:w="840"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2.836</w:t>
                  </w:r>
                </w:p>
              </w:tc>
            </w:tr>
            <w:tr w:rsidR="00A56471" w:rsidRPr="002D750F" w:rsidTr="003D40DC">
              <w:trPr>
                <w:trHeight w:val="226"/>
              </w:trPr>
              <w:tc>
                <w:tcPr>
                  <w:tcW w:w="437"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Unemploy-</w:t>
                  </w:r>
                </w:p>
                <w:p w:rsidR="00A56471" w:rsidRPr="002D750F" w:rsidRDefault="00A56471" w:rsidP="005F73EA">
                  <w:pPr>
                    <w:spacing w:after="0" w:line="240" w:lineRule="auto"/>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ment rate</w:t>
                  </w:r>
                </w:p>
              </w:tc>
              <w:tc>
                <w:tcPr>
                  <w:tcW w:w="62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4.37</w:t>
                  </w:r>
                </w:p>
              </w:tc>
              <w:tc>
                <w:tcPr>
                  <w:tcW w:w="732"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4.444</w:t>
                  </w:r>
                </w:p>
              </w:tc>
              <w:tc>
                <w:tcPr>
                  <w:tcW w:w="649"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4.558</w:t>
                  </w:r>
                </w:p>
              </w:tc>
              <w:tc>
                <w:tcPr>
                  <w:tcW w:w="774"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6.305</w:t>
                  </w:r>
                </w:p>
              </w:tc>
              <w:tc>
                <w:tcPr>
                  <w:tcW w:w="71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11.825</w:t>
                  </w:r>
                </w:p>
              </w:tc>
              <w:tc>
                <w:tcPr>
                  <w:tcW w:w="71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13.632</w:t>
                  </w:r>
                </w:p>
              </w:tc>
              <w:tc>
                <w:tcPr>
                  <w:tcW w:w="62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14.39</w:t>
                  </w:r>
                </w:p>
              </w:tc>
              <w:tc>
                <w:tcPr>
                  <w:tcW w:w="745"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14.813</w:t>
                  </w:r>
                </w:p>
              </w:tc>
              <w:tc>
                <w:tcPr>
                  <w:tcW w:w="62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14.41</w:t>
                  </w:r>
                </w:p>
              </w:tc>
              <w:tc>
                <w:tcPr>
                  <w:tcW w:w="762"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13.677</w:t>
                  </w:r>
                </w:p>
              </w:tc>
              <w:tc>
                <w:tcPr>
                  <w:tcW w:w="840"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13.095</w:t>
                  </w:r>
                </w:p>
              </w:tc>
            </w:tr>
            <w:tr w:rsidR="00A56471" w:rsidRPr="002D750F" w:rsidTr="003D40DC">
              <w:trPr>
                <w:trHeight w:val="246"/>
              </w:trPr>
              <w:tc>
                <w:tcPr>
                  <w:tcW w:w="437"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Employment</w:t>
                  </w:r>
                </w:p>
              </w:tc>
              <w:tc>
                <w:tcPr>
                  <w:tcW w:w="62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1.963</w:t>
                  </w:r>
                </w:p>
              </w:tc>
              <w:tc>
                <w:tcPr>
                  <w:tcW w:w="732"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2.048</w:t>
                  </w:r>
                </w:p>
              </w:tc>
              <w:tc>
                <w:tcPr>
                  <w:tcW w:w="649"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2.123</w:t>
                  </w:r>
                </w:p>
              </w:tc>
              <w:tc>
                <w:tcPr>
                  <w:tcW w:w="774"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2.1</w:t>
                  </w:r>
                </w:p>
              </w:tc>
              <w:tc>
                <w:tcPr>
                  <w:tcW w:w="71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1.929</w:t>
                  </w:r>
                </w:p>
              </w:tc>
              <w:tc>
                <w:tcPr>
                  <w:tcW w:w="71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1.848</w:t>
                  </w:r>
                </w:p>
              </w:tc>
              <w:tc>
                <w:tcPr>
                  <w:tcW w:w="62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1.81</w:t>
                  </w:r>
                </w:p>
              </w:tc>
              <w:tc>
                <w:tcPr>
                  <w:tcW w:w="745"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1.795</w:t>
                  </w:r>
                </w:p>
              </w:tc>
              <w:tc>
                <w:tcPr>
                  <w:tcW w:w="621"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jc w:val="right"/>
                    <w:rPr>
                      <w:rFonts w:ascii="Times New Roman" w:eastAsia="Times New Roman" w:hAnsi="Times New Roman" w:cs="Times New Roman"/>
                      <w:color w:val="000000"/>
                      <w:sz w:val="18"/>
                      <w:lang w:eastAsia="en-IE"/>
                    </w:rPr>
                  </w:pPr>
                  <w:r w:rsidRPr="002D750F">
                    <w:rPr>
                      <w:rFonts w:ascii="Times New Roman" w:eastAsia="Times New Roman" w:hAnsi="Times New Roman" w:cs="Times New Roman"/>
                      <w:color w:val="000000"/>
                      <w:sz w:val="18"/>
                      <w:lang w:eastAsia="en-IE"/>
                    </w:rPr>
                    <w:t>1.803</w:t>
                  </w:r>
                </w:p>
              </w:tc>
              <w:tc>
                <w:tcPr>
                  <w:tcW w:w="762"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rPr>
                      <w:rFonts w:ascii="Times New Roman" w:eastAsia="Times New Roman" w:hAnsi="Times New Roman" w:cs="Times New Roman"/>
                      <w:color w:val="000000"/>
                      <w:sz w:val="18"/>
                      <w:lang w:eastAsia="en-IE"/>
                    </w:rPr>
                  </w:pPr>
                  <w:r>
                    <w:rPr>
                      <w:rFonts w:ascii="Times New Roman" w:eastAsia="Times New Roman" w:hAnsi="Times New Roman" w:cs="Times New Roman"/>
                      <w:color w:val="000000"/>
                      <w:sz w:val="18"/>
                      <w:lang w:eastAsia="en-IE"/>
                    </w:rPr>
                    <w:t xml:space="preserve">   </w:t>
                  </w:r>
                  <w:r w:rsidRPr="002D750F">
                    <w:rPr>
                      <w:rFonts w:ascii="Times New Roman" w:eastAsia="Times New Roman" w:hAnsi="Times New Roman" w:cs="Times New Roman"/>
                      <w:color w:val="000000"/>
                      <w:sz w:val="18"/>
                      <w:lang w:eastAsia="en-IE"/>
                    </w:rPr>
                    <w:t>n/a</w:t>
                  </w:r>
                </w:p>
              </w:tc>
              <w:tc>
                <w:tcPr>
                  <w:tcW w:w="840" w:type="dxa"/>
                  <w:tcBorders>
                    <w:top w:val="nil"/>
                    <w:left w:val="nil"/>
                    <w:bottom w:val="nil"/>
                    <w:right w:val="nil"/>
                  </w:tcBorders>
                  <w:shd w:val="clear" w:color="auto" w:fill="auto"/>
                  <w:noWrap/>
                  <w:vAlign w:val="bottom"/>
                  <w:hideMark/>
                </w:tcPr>
                <w:p w:rsidR="00A56471" w:rsidRPr="002D750F" w:rsidRDefault="00A56471" w:rsidP="005F73EA">
                  <w:pPr>
                    <w:spacing w:after="0" w:line="240" w:lineRule="auto"/>
                    <w:rPr>
                      <w:rFonts w:ascii="Times New Roman" w:eastAsia="Times New Roman" w:hAnsi="Times New Roman" w:cs="Times New Roman"/>
                      <w:color w:val="000000"/>
                      <w:sz w:val="18"/>
                      <w:lang w:eastAsia="en-IE"/>
                    </w:rPr>
                  </w:pPr>
                  <w:r>
                    <w:rPr>
                      <w:rFonts w:ascii="Times New Roman" w:eastAsia="Times New Roman" w:hAnsi="Times New Roman" w:cs="Times New Roman"/>
                      <w:color w:val="000000"/>
                      <w:sz w:val="18"/>
                      <w:lang w:eastAsia="en-IE"/>
                    </w:rPr>
                    <w:t xml:space="preserve">   </w:t>
                  </w:r>
                  <w:r w:rsidRPr="002D750F">
                    <w:rPr>
                      <w:rFonts w:ascii="Times New Roman" w:eastAsia="Times New Roman" w:hAnsi="Times New Roman" w:cs="Times New Roman"/>
                      <w:color w:val="000000"/>
                      <w:sz w:val="18"/>
                      <w:lang w:eastAsia="en-IE"/>
                    </w:rPr>
                    <w:t>n/a</w:t>
                  </w:r>
                </w:p>
              </w:tc>
            </w:tr>
          </w:tbl>
          <w:p w:rsidR="00A56471" w:rsidRPr="002D750F" w:rsidRDefault="00A56471" w:rsidP="005F73EA">
            <w:pPr>
              <w:rPr>
                <w:rFonts w:ascii="Times New Roman" w:hAnsi="Times New Roman"/>
                <w:sz w:val="18"/>
              </w:rPr>
            </w:pPr>
          </w:p>
        </w:tc>
      </w:tr>
    </w:tbl>
    <w:p w:rsidR="00996941" w:rsidRDefault="00996941" w:rsidP="005F73EA">
      <w:pPr>
        <w:spacing w:line="240" w:lineRule="auto"/>
        <w:rPr>
          <w:rFonts w:ascii="Times New Roman" w:hAnsi="Times New Roman"/>
          <w:sz w:val="18"/>
        </w:rPr>
      </w:pPr>
      <w:r>
        <w:rPr>
          <w:rFonts w:ascii="Times New Roman" w:hAnsi="Times New Roman"/>
          <w:sz w:val="18"/>
        </w:rPr>
        <w:t>Source : IMF WEO data base</w:t>
      </w:r>
    </w:p>
    <w:p w:rsidR="002F34F8" w:rsidRDefault="002F34F8" w:rsidP="005F73EA">
      <w:pPr>
        <w:spacing w:line="240" w:lineRule="auto"/>
        <w:rPr>
          <w:rFonts w:ascii="Times New Roman" w:hAnsi="Times New Roman"/>
          <w:sz w:val="18"/>
        </w:rPr>
      </w:pPr>
    </w:p>
    <w:p w:rsidR="00DD5731" w:rsidRPr="00DD5731" w:rsidRDefault="00DD5731" w:rsidP="005F73EA">
      <w:pPr>
        <w:spacing w:line="240" w:lineRule="auto"/>
        <w:rPr>
          <w:rFonts w:ascii="Times New Roman" w:hAnsi="Times New Roman"/>
          <w:sz w:val="18"/>
        </w:rPr>
      </w:pPr>
    </w:p>
    <w:p w:rsidR="002F34F8" w:rsidRPr="00042D56" w:rsidRDefault="00125E05" w:rsidP="005F73EA">
      <w:pPr>
        <w:spacing w:line="240" w:lineRule="auto"/>
        <w:rPr>
          <w:rFonts w:ascii="Times New Roman" w:hAnsi="Times New Roman"/>
          <w:b/>
          <w:sz w:val="24"/>
        </w:rPr>
      </w:pPr>
      <w:r>
        <w:rPr>
          <w:rFonts w:ascii="Times New Roman" w:hAnsi="Times New Roman"/>
          <w:b/>
          <w:sz w:val="24"/>
        </w:rPr>
        <w:t xml:space="preserve">3. </w:t>
      </w:r>
      <w:r w:rsidR="00042D56">
        <w:rPr>
          <w:rFonts w:ascii="Times New Roman" w:hAnsi="Times New Roman"/>
          <w:b/>
          <w:sz w:val="24"/>
        </w:rPr>
        <w:t xml:space="preserve"> </w:t>
      </w:r>
      <w:r>
        <w:rPr>
          <w:rFonts w:ascii="Times New Roman" w:hAnsi="Times New Roman"/>
          <w:b/>
          <w:sz w:val="24"/>
        </w:rPr>
        <w:t xml:space="preserve">Why We need New </w:t>
      </w:r>
      <w:r w:rsidR="002F34F8" w:rsidRPr="00042D56">
        <w:rPr>
          <w:rFonts w:ascii="Times New Roman" w:hAnsi="Times New Roman"/>
          <w:b/>
          <w:sz w:val="24"/>
        </w:rPr>
        <w:t xml:space="preserve"> Forms of Banking</w:t>
      </w:r>
    </w:p>
    <w:p w:rsidR="00834F65" w:rsidRDefault="00834F65" w:rsidP="005F73EA">
      <w:pPr>
        <w:spacing w:after="0" w:line="240" w:lineRule="auto"/>
        <w:jc w:val="both"/>
        <w:rPr>
          <w:rFonts w:ascii="Times New Roman" w:hAnsi="Times New Roman"/>
          <w:b/>
        </w:rPr>
      </w:pPr>
    </w:p>
    <w:p w:rsidR="00834F65" w:rsidRDefault="00834F65" w:rsidP="005F73EA">
      <w:pPr>
        <w:spacing w:after="0" w:line="240" w:lineRule="auto"/>
        <w:jc w:val="both"/>
        <w:rPr>
          <w:rFonts w:ascii="Times New Roman" w:hAnsi="Times New Roman"/>
          <w:lang w:val="en-US"/>
        </w:rPr>
      </w:pPr>
      <w:r>
        <w:rPr>
          <w:rFonts w:ascii="Times New Roman" w:hAnsi="Times New Roman"/>
          <w:b/>
        </w:rPr>
        <w:t>T</w:t>
      </w:r>
      <w:r>
        <w:rPr>
          <w:rFonts w:ascii="Times New Roman" w:hAnsi="Times New Roman"/>
        </w:rPr>
        <w:t xml:space="preserve">he bank recapitalisation in Ireland  amounted to </w:t>
      </w:r>
      <w:r>
        <w:rPr>
          <w:rFonts w:ascii="Times New Roman" w:hAnsi="Times New Roman" w:cstheme="minorHAnsi"/>
        </w:rPr>
        <w:t>€</w:t>
      </w:r>
      <w:r>
        <w:rPr>
          <w:rFonts w:ascii="Times New Roman" w:hAnsi="Times New Roman"/>
        </w:rPr>
        <w:t xml:space="preserve">62.8 billion by March 2012 approximately </w:t>
      </w:r>
      <w:r>
        <w:rPr>
          <w:rFonts w:ascii="Times New Roman" w:hAnsi="Times New Roman"/>
          <w:lang w:val="en-US"/>
        </w:rPr>
        <w:t>38</w:t>
      </w:r>
      <w:r>
        <w:rPr>
          <w:rFonts w:ascii="Times New Roman" w:hAnsi="Times New Roman"/>
        </w:rPr>
        <w:t xml:space="preserve">% of </w:t>
      </w:r>
      <w:r>
        <w:rPr>
          <w:rFonts w:ascii="Times New Roman" w:hAnsi="Times New Roman"/>
          <w:lang w:val="en-US"/>
        </w:rPr>
        <w:t>G</w:t>
      </w:r>
      <w:r>
        <w:rPr>
          <w:rFonts w:ascii="Times New Roman" w:hAnsi="Times New Roman"/>
        </w:rPr>
        <w:t xml:space="preserve">eneral </w:t>
      </w:r>
      <w:r>
        <w:rPr>
          <w:rFonts w:ascii="Times New Roman" w:hAnsi="Times New Roman"/>
          <w:lang w:val="en-US"/>
        </w:rPr>
        <w:t>G</w:t>
      </w:r>
      <w:r>
        <w:rPr>
          <w:rFonts w:ascii="Times New Roman" w:hAnsi="Times New Roman"/>
        </w:rPr>
        <w:t xml:space="preserve">overnment gross debt.  Without any bank recapitalisation Irelands </w:t>
      </w:r>
      <w:r>
        <w:rPr>
          <w:rFonts w:ascii="Times New Roman" w:hAnsi="Times New Roman"/>
          <w:lang w:val="en-US"/>
        </w:rPr>
        <w:t>D</w:t>
      </w:r>
      <w:r>
        <w:rPr>
          <w:rFonts w:ascii="Times New Roman" w:hAnsi="Times New Roman"/>
        </w:rPr>
        <w:t>ebt</w:t>
      </w:r>
      <w:r>
        <w:rPr>
          <w:rFonts w:ascii="Times New Roman" w:hAnsi="Times New Roman"/>
          <w:lang w:val="en-US"/>
        </w:rPr>
        <w:t>/</w:t>
      </w:r>
      <w:r>
        <w:rPr>
          <w:rFonts w:ascii="Times New Roman" w:hAnsi="Times New Roman"/>
        </w:rPr>
        <w:t>GDP ratio would be approx 6</w:t>
      </w:r>
      <w:r>
        <w:rPr>
          <w:rFonts w:ascii="Times New Roman" w:hAnsi="Times New Roman"/>
          <w:lang w:val="en-US"/>
        </w:rPr>
        <w:t>5</w:t>
      </w:r>
      <w:r>
        <w:rPr>
          <w:rFonts w:ascii="Times New Roman" w:hAnsi="Times New Roman"/>
        </w:rPr>
        <w:t xml:space="preserve">% of GDP </w:t>
      </w:r>
      <w:r>
        <w:rPr>
          <w:rFonts w:ascii="Times New Roman" w:hAnsi="Times New Roman"/>
          <w:lang w:val="en-US"/>
        </w:rPr>
        <w:t>(ignoring any interest savings)</w:t>
      </w:r>
      <w:r>
        <w:rPr>
          <w:rFonts w:ascii="Times New Roman" w:hAnsi="Times New Roman"/>
        </w:rPr>
        <w:t>- amongst the lowest in the eurozone.</w:t>
      </w:r>
    </w:p>
    <w:p w:rsidR="00834F65" w:rsidRDefault="00834F65" w:rsidP="005F73EA">
      <w:pPr>
        <w:spacing w:after="0" w:line="240" w:lineRule="auto"/>
        <w:jc w:val="both"/>
        <w:rPr>
          <w:rFonts w:ascii="Times New Roman" w:hAnsi="Times New Roman"/>
        </w:rPr>
      </w:pPr>
    </w:p>
    <w:p w:rsidR="00834F65" w:rsidRDefault="00834F65" w:rsidP="005F73EA">
      <w:pPr>
        <w:numPr>
          <w:ilvl w:val="0"/>
          <w:numId w:val="7"/>
        </w:numPr>
        <w:spacing w:after="0" w:line="240" w:lineRule="auto"/>
        <w:jc w:val="both"/>
        <w:rPr>
          <w:rFonts w:ascii="Times New Roman" w:hAnsi="Times New Roman"/>
        </w:rPr>
      </w:pPr>
      <w:r>
        <w:rPr>
          <w:rFonts w:ascii="Times New Roman" w:hAnsi="Times New Roman"/>
        </w:rPr>
        <w:t xml:space="preserve">Recapitalising the banks has not resulted in increased credit for the private sector.  Table (1) shows that credit continues to fall for Irish resident firms.  This is especially so for SME’s </w:t>
      </w:r>
    </w:p>
    <w:p w:rsidR="00834F65" w:rsidRDefault="00834F65" w:rsidP="005F73EA">
      <w:pPr>
        <w:numPr>
          <w:ilvl w:val="0"/>
          <w:numId w:val="7"/>
        </w:numPr>
        <w:spacing w:after="0" w:line="240" w:lineRule="auto"/>
        <w:jc w:val="both"/>
        <w:rPr>
          <w:rFonts w:ascii="Times New Roman" w:hAnsi="Times New Roman"/>
        </w:rPr>
      </w:pPr>
      <w:r>
        <w:rPr>
          <w:rFonts w:ascii="Times New Roman" w:hAnsi="Times New Roman"/>
        </w:rPr>
        <w:t>In contrast for the eurozone as a whole there has been credit growth on an annual basis (although at low rates) since December 2010 until March 2012. Since then credit has declined.</w:t>
      </w:r>
    </w:p>
    <w:p w:rsidR="00834F65" w:rsidRDefault="00834F65" w:rsidP="005F73EA">
      <w:pPr>
        <w:spacing w:after="0" w:line="240" w:lineRule="auto"/>
        <w:jc w:val="both"/>
        <w:rPr>
          <w:rFonts w:ascii="Times New Roman" w:hAnsi="Times New Roman"/>
        </w:rPr>
      </w:pPr>
    </w:p>
    <w:p w:rsidR="00834F65" w:rsidRDefault="00834F65" w:rsidP="005F73EA">
      <w:pPr>
        <w:spacing w:after="0" w:line="240" w:lineRule="auto"/>
        <w:jc w:val="both"/>
        <w:rPr>
          <w:rFonts w:ascii="Times New Roman" w:hAnsi="Times New Roman"/>
        </w:rPr>
      </w:pPr>
      <w:r>
        <w:rPr>
          <w:rFonts w:ascii="Times New Roman" w:hAnsi="Times New Roman"/>
        </w:rPr>
        <w:t>Holton and Mcann (2012) from survey evidence, argue that the share of ‘discouraged SME’s , who do not apply for credit in the belief that they will be rejected is the second highest in the euro area, and the share of SME</w:t>
      </w:r>
      <w:r>
        <w:rPr>
          <w:rFonts w:ascii="Times New Roman" w:hAnsi="Times New Roman"/>
          <w:lang w:val="en-US"/>
        </w:rPr>
        <w:t>’s</w:t>
      </w:r>
      <w:r>
        <w:rPr>
          <w:rFonts w:ascii="Times New Roman" w:hAnsi="Times New Roman"/>
        </w:rPr>
        <w:t xml:space="preserve"> that were rejected  when applying for a loan or overdraft is also the second highest in the euro area.</w:t>
      </w:r>
    </w:p>
    <w:p w:rsidR="00834F65" w:rsidRDefault="00834F65" w:rsidP="005F73EA">
      <w:pPr>
        <w:spacing w:after="0" w:line="240" w:lineRule="auto"/>
        <w:ind w:left="720"/>
        <w:jc w:val="both"/>
        <w:rPr>
          <w:rFonts w:ascii="Times New Roman" w:hAnsi="Times New Roman"/>
        </w:rPr>
      </w:pPr>
    </w:p>
    <w:p w:rsidR="00834F65" w:rsidRDefault="00834F65" w:rsidP="005F73EA">
      <w:pPr>
        <w:spacing w:after="0" w:line="240" w:lineRule="auto"/>
        <w:jc w:val="both"/>
        <w:rPr>
          <w:rFonts w:ascii="Times New Roman" w:hAnsi="Times New Roman"/>
          <w:lang w:val="en-US"/>
        </w:rPr>
      </w:pPr>
      <w:r>
        <w:rPr>
          <w:rFonts w:ascii="Times New Roman" w:hAnsi="Times New Roman"/>
        </w:rPr>
        <w:t>This very different pattern between Ireland and other euro area countries, may be partly explained by  very different financial systems.  In particular the existence of regional banks and specialist banks in other eurozone countries such as France and German</w:t>
      </w:r>
      <w:r>
        <w:rPr>
          <w:rFonts w:ascii="Times New Roman" w:hAnsi="Times New Roman"/>
          <w:lang w:val="en-US"/>
        </w:rPr>
        <w:t xml:space="preserve">y.  </w:t>
      </w:r>
    </w:p>
    <w:p w:rsidR="005F73EA" w:rsidRPr="005F73EA" w:rsidRDefault="005F73EA" w:rsidP="005F73EA">
      <w:pPr>
        <w:spacing w:after="0" w:line="240" w:lineRule="auto"/>
        <w:jc w:val="both"/>
        <w:rPr>
          <w:rFonts w:ascii="Times New Roman" w:hAnsi="Times New Roman"/>
        </w:rPr>
      </w:pPr>
    </w:p>
    <w:p w:rsidR="00834F65" w:rsidRDefault="00834F65" w:rsidP="005F73EA">
      <w:pPr>
        <w:spacing w:after="0" w:line="240" w:lineRule="auto"/>
        <w:jc w:val="both"/>
        <w:rPr>
          <w:rFonts w:ascii="Times New Roman" w:hAnsi="Times New Roman"/>
          <w:lang w:val="en-US"/>
        </w:rPr>
      </w:pPr>
      <w:r>
        <w:rPr>
          <w:rFonts w:ascii="Times New Roman" w:hAnsi="Times New Roman"/>
          <w:lang w:val="en-US"/>
        </w:rPr>
        <w:t xml:space="preserve">Very different ownership structures may also be important. One example is the greater prevalence of control enhancing mechanisms, such as shares with multiple voting rights (France Netherlands and Germany) and pyramid structures (Belgium, Netherlands, Germany, France) compared with ‘Anglo-Saxon’ type financial systems such as the UK and Ireland (Institutional Shareholder Services, 2007, fig. 4.10, 4.13). </w:t>
      </w:r>
    </w:p>
    <w:p w:rsidR="00834F65" w:rsidRDefault="00834F65" w:rsidP="005F73EA">
      <w:pPr>
        <w:spacing w:after="0" w:line="240" w:lineRule="auto"/>
        <w:jc w:val="both"/>
        <w:rPr>
          <w:rFonts w:ascii="Times New Roman" w:hAnsi="Times New Roman"/>
          <w:lang w:val="en-US"/>
        </w:rPr>
      </w:pPr>
      <w:r>
        <w:rPr>
          <w:rFonts w:ascii="Times New Roman" w:hAnsi="Times New Roman"/>
          <w:lang w:val="en-US"/>
        </w:rPr>
        <w:t xml:space="preserve">Pyramid and group type structures, </w:t>
      </w:r>
      <w:r w:rsidR="005F73EA">
        <w:rPr>
          <w:rFonts w:ascii="Times New Roman" w:hAnsi="Times New Roman"/>
          <w:lang w:val="en-US"/>
        </w:rPr>
        <w:t>mayprovide</w:t>
      </w:r>
      <w:r>
        <w:rPr>
          <w:rFonts w:ascii="Times New Roman" w:hAnsi="Times New Roman"/>
          <w:lang w:val="en-US"/>
        </w:rPr>
        <w:t xml:space="preserve"> alternative sources of finance </w:t>
      </w:r>
      <w:r w:rsidR="005F73EA">
        <w:rPr>
          <w:rFonts w:ascii="Times New Roman" w:hAnsi="Times New Roman"/>
          <w:lang w:val="en-US"/>
        </w:rPr>
        <w:t xml:space="preserve">and </w:t>
      </w:r>
      <w:r>
        <w:rPr>
          <w:rFonts w:ascii="Times New Roman" w:hAnsi="Times New Roman"/>
          <w:lang w:val="en-US"/>
        </w:rPr>
        <w:t>reduce the risk from bank lending.</w:t>
      </w:r>
    </w:p>
    <w:p w:rsidR="00834F65" w:rsidRDefault="00834F65" w:rsidP="005F73EA">
      <w:pPr>
        <w:spacing w:after="0" w:line="240" w:lineRule="auto"/>
        <w:rPr>
          <w:rFonts w:ascii="Times New Roman" w:hAnsi="Times New Roman"/>
          <w:lang w:val="en-US"/>
        </w:rPr>
      </w:pPr>
    </w:p>
    <w:p w:rsidR="00125E05" w:rsidRDefault="00125E05" w:rsidP="005F73EA">
      <w:pPr>
        <w:spacing w:after="0" w:line="240" w:lineRule="auto"/>
        <w:rPr>
          <w:rFonts w:ascii="Times New Roman" w:hAnsi="Times New Roman"/>
          <w:lang w:val="en-US"/>
        </w:rPr>
      </w:pPr>
    </w:p>
    <w:p w:rsidR="00125E05" w:rsidRDefault="00125E05" w:rsidP="005F73EA">
      <w:pPr>
        <w:spacing w:after="0" w:line="240" w:lineRule="auto"/>
        <w:rPr>
          <w:rFonts w:ascii="Times New Roman" w:hAnsi="Times New Roman"/>
          <w:lang w:val="en-US"/>
        </w:rPr>
      </w:pPr>
    </w:p>
    <w:p w:rsidR="005F73EA" w:rsidRDefault="005F73EA" w:rsidP="005F73EA">
      <w:pPr>
        <w:spacing w:after="0" w:line="240" w:lineRule="auto"/>
        <w:rPr>
          <w:rFonts w:ascii="Times New Roman" w:hAnsi="Times New Roman"/>
          <w:lang w:val="en-US"/>
        </w:rPr>
      </w:pPr>
    </w:p>
    <w:p w:rsidR="00125E05" w:rsidRDefault="00125E05" w:rsidP="005F73EA">
      <w:pPr>
        <w:spacing w:after="0" w:line="240" w:lineRule="auto"/>
        <w:rPr>
          <w:rFonts w:ascii="Times New Roman" w:hAnsi="Times New Roman"/>
          <w:lang w:val="en-US"/>
        </w:rPr>
      </w:pPr>
    </w:p>
    <w:p w:rsidR="00834F65" w:rsidRDefault="00834F65" w:rsidP="005F73EA">
      <w:pPr>
        <w:spacing w:after="0" w:line="240" w:lineRule="auto"/>
        <w:jc w:val="center"/>
        <w:rPr>
          <w:rFonts w:ascii="Times New Roman" w:hAnsi="Times New Roman"/>
        </w:rPr>
      </w:pPr>
      <w:r>
        <w:rPr>
          <w:rFonts w:ascii="Times New Roman" w:hAnsi="Times New Roman"/>
        </w:rPr>
        <w:lastRenderedPageBreak/>
        <w:t>Table (</w:t>
      </w:r>
      <w:r w:rsidR="003500DD">
        <w:rPr>
          <w:rFonts w:ascii="Times New Roman" w:hAnsi="Times New Roman"/>
        </w:rPr>
        <w:t>3</w:t>
      </w:r>
      <w:r>
        <w:rPr>
          <w:rFonts w:ascii="Times New Roman" w:hAnsi="Times New Roman"/>
        </w:rPr>
        <w:t>)</w:t>
      </w:r>
    </w:p>
    <w:p w:rsidR="00834F65" w:rsidRDefault="00834F65" w:rsidP="005F73EA">
      <w:pPr>
        <w:spacing w:after="0" w:line="240" w:lineRule="auto"/>
        <w:jc w:val="center"/>
        <w:rPr>
          <w:rFonts w:ascii="Times New Roman" w:hAnsi="Times New Roman"/>
        </w:rPr>
      </w:pPr>
      <w:r>
        <w:rPr>
          <w:rFonts w:ascii="Times New Roman" w:hAnsi="Times New Roman"/>
        </w:rPr>
        <w:t xml:space="preserve">Annual Rate of Change in Credit to Eurozone and Irish Enterprises </w:t>
      </w:r>
    </w:p>
    <w:p w:rsidR="00834F65" w:rsidRDefault="00834F65" w:rsidP="005F73EA">
      <w:pPr>
        <w:spacing w:after="0" w:line="240" w:lineRule="auto"/>
        <w:jc w:val="center"/>
        <w:rPr>
          <w:rFonts w:ascii="Times New Roman" w:hAnsi="Times New Roman"/>
        </w:rPr>
      </w:pPr>
      <w:r>
        <w:rPr>
          <w:rFonts w:ascii="Times New Roman" w:hAnsi="Times New Roman"/>
        </w:rPr>
        <w:t>(Excluding Financial Companies)</w:t>
      </w:r>
    </w:p>
    <w:p w:rsidR="00834F65" w:rsidRDefault="00834F65" w:rsidP="005F73EA">
      <w:pPr>
        <w:spacing w:after="0" w:line="240" w:lineRule="auto"/>
        <w:jc w:val="center"/>
        <w:rPr>
          <w:rFonts w:ascii="Times New Roman" w:hAnsi="Times New Roman"/>
        </w:rPr>
      </w:pPr>
    </w:p>
    <w:tbl>
      <w:tblPr>
        <w:tblStyle w:val="TableGrid"/>
        <w:tblpPr w:leftFromText="180" w:rightFromText="180" w:vertAnchor="text" w:horzAnchor="margin" w:tblpXSpec="center" w:tblpY="167"/>
        <w:tblW w:w="0" w:type="auto"/>
        <w:tblLook w:val="04A0" w:firstRow="1" w:lastRow="0" w:firstColumn="1" w:lastColumn="0" w:noHBand="0" w:noVBand="1"/>
      </w:tblPr>
      <w:tblGrid>
        <w:gridCol w:w="1951"/>
        <w:gridCol w:w="1559"/>
        <w:gridCol w:w="1573"/>
        <w:gridCol w:w="1573"/>
        <w:gridCol w:w="1654"/>
      </w:tblGrid>
      <w:tr w:rsidR="00834F65" w:rsidTr="003D40DC">
        <w:tc>
          <w:tcPr>
            <w:tcW w:w="1951" w:type="dxa"/>
            <w:tcBorders>
              <w:top w:val="single" w:sz="4" w:space="0" w:color="auto"/>
              <w:left w:val="single" w:sz="4" w:space="0" w:color="auto"/>
              <w:bottom w:val="single" w:sz="4" w:space="0" w:color="auto"/>
              <w:right w:val="single" w:sz="4" w:space="0" w:color="auto"/>
            </w:tcBorders>
          </w:tcPr>
          <w:p w:rsidR="00834F65" w:rsidRDefault="00834F65" w:rsidP="005F73EA">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Eurozone </w:t>
            </w:r>
          </w:p>
          <w:p w:rsidR="00834F65" w:rsidRDefault="00834F65" w:rsidP="005F73EA">
            <w:pPr>
              <w:rPr>
                <w:rFonts w:ascii="Times New Roman" w:hAnsi="Times New Roman"/>
              </w:rPr>
            </w:pPr>
            <w:r>
              <w:rPr>
                <w:rFonts w:ascii="Times New Roman" w:hAnsi="Times New Roman"/>
              </w:rPr>
              <w:t>Non-financial Corporations</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Irish Resident Private Sector Enterprises (excluding financial intermediation)</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Irish SME’s (excluding Financial intermediation)</w:t>
            </w:r>
          </w:p>
        </w:tc>
        <w:tc>
          <w:tcPr>
            <w:tcW w:w="1654" w:type="dxa"/>
            <w:tcBorders>
              <w:top w:val="single" w:sz="4" w:space="0" w:color="auto"/>
              <w:left w:val="single" w:sz="4" w:space="0" w:color="auto"/>
              <w:bottom w:val="single" w:sz="4" w:space="0" w:color="auto"/>
              <w:right w:val="single" w:sz="4" w:space="0" w:color="auto"/>
            </w:tcBorders>
          </w:tcPr>
          <w:p w:rsidR="00834F65" w:rsidRDefault="00834F65" w:rsidP="005F73EA">
            <w:pPr>
              <w:rPr>
                <w:rFonts w:ascii="Times New Roman" w:hAnsi="Times New Roman"/>
              </w:rPr>
            </w:pPr>
            <w:r>
              <w:rPr>
                <w:rFonts w:ascii="Times New Roman" w:hAnsi="Times New Roman"/>
              </w:rPr>
              <w:t>Irish SME’s (excluding Financial Intermediation and property related sectors)</w:t>
            </w:r>
          </w:p>
        </w:tc>
      </w:tr>
      <w:tr w:rsidR="00834F65" w:rsidTr="003D40DC">
        <w:tc>
          <w:tcPr>
            <w:tcW w:w="1951"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September 2012</w:t>
            </w:r>
          </w:p>
        </w:tc>
        <w:tc>
          <w:tcPr>
            <w:tcW w:w="1559"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-0.14</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p>
        </w:tc>
        <w:tc>
          <w:tcPr>
            <w:tcW w:w="1654" w:type="dxa"/>
            <w:tcBorders>
              <w:top w:val="single" w:sz="4" w:space="0" w:color="auto"/>
              <w:left w:val="single" w:sz="4" w:space="0" w:color="auto"/>
              <w:bottom w:val="single" w:sz="4" w:space="0" w:color="auto"/>
              <w:right w:val="single" w:sz="4" w:space="0" w:color="auto"/>
            </w:tcBorders>
          </w:tcPr>
          <w:p w:rsidR="00834F65" w:rsidRDefault="00834F65" w:rsidP="005F73EA">
            <w:pPr>
              <w:rPr>
                <w:rFonts w:ascii="Times New Roman" w:hAnsi="Times New Roman"/>
              </w:rPr>
            </w:pPr>
          </w:p>
        </w:tc>
      </w:tr>
      <w:tr w:rsidR="00834F65" w:rsidTr="003D40DC">
        <w:tc>
          <w:tcPr>
            <w:tcW w:w="1951"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June 2012</w:t>
            </w:r>
          </w:p>
        </w:tc>
        <w:tc>
          <w:tcPr>
            <w:tcW w:w="1559"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-0.6</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-3.0</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  -2.9</w:t>
            </w:r>
          </w:p>
        </w:tc>
        <w:tc>
          <w:tcPr>
            <w:tcW w:w="1654" w:type="dxa"/>
            <w:tcBorders>
              <w:top w:val="single" w:sz="4" w:space="0" w:color="auto"/>
              <w:left w:val="single" w:sz="4" w:space="0" w:color="auto"/>
              <w:bottom w:val="single" w:sz="4" w:space="0" w:color="auto"/>
              <w:right w:val="single" w:sz="4" w:space="0" w:color="auto"/>
            </w:tcBorders>
          </w:tcPr>
          <w:p w:rsidR="00834F65" w:rsidRDefault="00834F65" w:rsidP="005F73EA">
            <w:pPr>
              <w:rPr>
                <w:rFonts w:ascii="Times New Roman" w:hAnsi="Times New Roman"/>
              </w:rPr>
            </w:pPr>
            <w:r>
              <w:rPr>
                <w:rFonts w:ascii="Times New Roman" w:hAnsi="Times New Roman"/>
              </w:rPr>
              <w:t xml:space="preserve">  -4.6</w:t>
            </w:r>
          </w:p>
        </w:tc>
      </w:tr>
      <w:tr w:rsidR="00834F65" w:rsidTr="003D40DC">
        <w:tc>
          <w:tcPr>
            <w:tcW w:w="1951"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March 2012</w:t>
            </w:r>
          </w:p>
        </w:tc>
        <w:tc>
          <w:tcPr>
            <w:tcW w:w="1559"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  0.3</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-2.3</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  -4.9</w:t>
            </w:r>
          </w:p>
        </w:tc>
        <w:tc>
          <w:tcPr>
            <w:tcW w:w="1654" w:type="dxa"/>
            <w:tcBorders>
              <w:top w:val="single" w:sz="4" w:space="0" w:color="auto"/>
              <w:left w:val="single" w:sz="4" w:space="0" w:color="auto"/>
              <w:bottom w:val="single" w:sz="4" w:space="0" w:color="auto"/>
              <w:right w:val="single" w:sz="4" w:space="0" w:color="auto"/>
            </w:tcBorders>
          </w:tcPr>
          <w:p w:rsidR="00834F65" w:rsidRDefault="00834F65" w:rsidP="005F73EA">
            <w:pPr>
              <w:rPr>
                <w:rFonts w:ascii="Times New Roman" w:hAnsi="Times New Roman"/>
              </w:rPr>
            </w:pPr>
            <w:r>
              <w:rPr>
                <w:rFonts w:ascii="Times New Roman" w:hAnsi="Times New Roman"/>
              </w:rPr>
              <w:t xml:space="preserve">  -6.3</w:t>
            </w:r>
          </w:p>
        </w:tc>
      </w:tr>
      <w:tr w:rsidR="00834F65" w:rsidTr="003D40DC">
        <w:tc>
          <w:tcPr>
            <w:tcW w:w="1951"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December 2012</w:t>
            </w:r>
          </w:p>
        </w:tc>
        <w:tc>
          <w:tcPr>
            <w:tcW w:w="1559"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  1.1</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-2.6</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  -5.4</w:t>
            </w:r>
          </w:p>
        </w:tc>
        <w:tc>
          <w:tcPr>
            <w:tcW w:w="1654" w:type="dxa"/>
            <w:tcBorders>
              <w:top w:val="single" w:sz="4" w:space="0" w:color="auto"/>
              <w:left w:val="single" w:sz="4" w:space="0" w:color="auto"/>
              <w:bottom w:val="single" w:sz="4" w:space="0" w:color="auto"/>
              <w:right w:val="single" w:sz="4" w:space="0" w:color="auto"/>
            </w:tcBorders>
          </w:tcPr>
          <w:p w:rsidR="00834F65" w:rsidRDefault="00834F65" w:rsidP="005F73EA">
            <w:pPr>
              <w:rPr>
                <w:rFonts w:ascii="Times New Roman" w:hAnsi="Times New Roman"/>
              </w:rPr>
            </w:pPr>
            <w:r>
              <w:rPr>
                <w:rFonts w:ascii="Times New Roman" w:hAnsi="Times New Roman"/>
              </w:rPr>
              <w:t xml:space="preserve">  -6.2</w:t>
            </w:r>
          </w:p>
        </w:tc>
      </w:tr>
      <w:tr w:rsidR="00834F65" w:rsidTr="003D40DC">
        <w:tc>
          <w:tcPr>
            <w:tcW w:w="1951"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September 2011</w:t>
            </w:r>
          </w:p>
        </w:tc>
        <w:tc>
          <w:tcPr>
            <w:tcW w:w="1559"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  1.6</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-4.5</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  -8.2</w:t>
            </w:r>
          </w:p>
        </w:tc>
        <w:tc>
          <w:tcPr>
            <w:tcW w:w="1654" w:type="dxa"/>
            <w:tcBorders>
              <w:top w:val="single" w:sz="4" w:space="0" w:color="auto"/>
              <w:left w:val="single" w:sz="4" w:space="0" w:color="auto"/>
              <w:bottom w:val="single" w:sz="4" w:space="0" w:color="auto"/>
              <w:right w:val="single" w:sz="4" w:space="0" w:color="auto"/>
            </w:tcBorders>
          </w:tcPr>
          <w:p w:rsidR="00834F65" w:rsidRDefault="00834F65" w:rsidP="005F73EA">
            <w:pPr>
              <w:rPr>
                <w:rFonts w:ascii="Times New Roman" w:hAnsi="Times New Roman"/>
              </w:rPr>
            </w:pPr>
            <w:r>
              <w:rPr>
                <w:rFonts w:ascii="Times New Roman" w:hAnsi="Times New Roman"/>
              </w:rPr>
              <w:t xml:space="preserve">  -8.9</w:t>
            </w:r>
          </w:p>
        </w:tc>
      </w:tr>
      <w:tr w:rsidR="00834F65" w:rsidTr="003D40DC">
        <w:tc>
          <w:tcPr>
            <w:tcW w:w="1951"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June 2011</w:t>
            </w:r>
          </w:p>
        </w:tc>
        <w:tc>
          <w:tcPr>
            <w:tcW w:w="1559"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  1.5</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-5.3</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-12.5</w:t>
            </w:r>
          </w:p>
        </w:tc>
        <w:tc>
          <w:tcPr>
            <w:tcW w:w="1654" w:type="dxa"/>
            <w:tcBorders>
              <w:top w:val="single" w:sz="4" w:space="0" w:color="auto"/>
              <w:left w:val="single" w:sz="4" w:space="0" w:color="auto"/>
              <w:bottom w:val="single" w:sz="4" w:space="0" w:color="auto"/>
              <w:right w:val="single" w:sz="4" w:space="0" w:color="auto"/>
            </w:tcBorders>
          </w:tcPr>
          <w:p w:rsidR="00834F65" w:rsidRDefault="00834F65" w:rsidP="005F73EA">
            <w:pPr>
              <w:rPr>
                <w:rFonts w:ascii="Times New Roman" w:hAnsi="Times New Roman"/>
              </w:rPr>
            </w:pPr>
            <w:r>
              <w:rPr>
                <w:rFonts w:ascii="Times New Roman" w:hAnsi="Times New Roman"/>
              </w:rPr>
              <w:t>-10.6</w:t>
            </w:r>
          </w:p>
        </w:tc>
      </w:tr>
      <w:tr w:rsidR="00834F65" w:rsidTr="003D40DC">
        <w:tc>
          <w:tcPr>
            <w:tcW w:w="1951"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March 2011</w:t>
            </w:r>
          </w:p>
        </w:tc>
        <w:tc>
          <w:tcPr>
            <w:tcW w:w="1559"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  0.8</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-4.4</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   n.a.</w:t>
            </w:r>
          </w:p>
        </w:tc>
        <w:tc>
          <w:tcPr>
            <w:tcW w:w="1654" w:type="dxa"/>
            <w:tcBorders>
              <w:top w:val="single" w:sz="4" w:space="0" w:color="auto"/>
              <w:left w:val="single" w:sz="4" w:space="0" w:color="auto"/>
              <w:bottom w:val="single" w:sz="4" w:space="0" w:color="auto"/>
              <w:right w:val="single" w:sz="4" w:space="0" w:color="auto"/>
            </w:tcBorders>
          </w:tcPr>
          <w:p w:rsidR="00834F65" w:rsidRDefault="00834F65" w:rsidP="005F73EA">
            <w:pPr>
              <w:rPr>
                <w:rFonts w:ascii="Times New Roman" w:hAnsi="Times New Roman"/>
              </w:rPr>
            </w:pPr>
            <w:r>
              <w:rPr>
                <w:rFonts w:ascii="Times New Roman" w:hAnsi="Times New Roman"/>
              </w:rPr>
              <w:t xml:space="preserve">  n.a.</w:t>
            </w:r>
          </w:p>
        </w:tc>
      </w:tr>
      <w:tr w:rsidR="00834F65" w:rsidTr="003D40DC">
        <w:tc>
          <w:tcPr>
            <w:tcW w:w="1951"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December 2010</w:t>
            </w:r>
          </w:p>
        </w:tc>
        <w:tc>
          <w:tcPr>
            <w:tcW w:w="1559"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  0.1</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-4.4</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   n.a.</w:t>
            </w:r>
          </w:p>
        </w:tc>
        <w:tc>
          <w:tcPr>
            <w:tcW w:w="1654" w:type="dxa"/>
            <w:tcBorders>
              <w:top w:val="single" w:sz="4" w:space="0" w:color="auto"/>
              <w:left w:val="single" w:sz="4" w:space="0" w:color="auto"/>
              <w:bottom w:val="single" w:sz="4" w:space="0" w:color="auto"/>
              <w:right w:val="single" w:sz="4" w:space="0" w:color="auto"/>
            </w:tcBorders>
          </w:tcPr>
          <w:p w:rsidR="00834F65" w:rsidRDefault="00834F65" w:rsidP="005F73EA">
            <w:pPr>
              <w:rPr>
                <w:rFonts w:ascii="Times New Roman" w:hAnsi="Times New Roman"/>
              </w:rPr>
            </w:pPr>
            <w:r>
              <w:rPr>
                <w:rFonts w:ascii="Times New Roman" w:hAnsi="Times New Roman"/>
              </w:rPr>
              <w:t xml:space="preserve">   n.a.</w:t>
            </w:r>
          </w:p>
        </w:tc>
      </w:tr>
      <w:tr w:rsidR="00834F65" w:rsidTr="003D40DC">
        <w:tc>
          <w:tcPr>
            <w:tcW w:w="1951"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September 2010</w:t>
            </w:r>
          </w:p>
        </w:tc>
        <w:tc>
          <w:tcPr>
            <w:tcW w:w="1559"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 -0.6</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-2.1</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   n.a.</w:t>
            </w:r>
          </w:p>
        </w:tc>
        <w:tc>
          <w:tcPr>
            <w:tcW w:w="1654" w:type="dxa"/>
            <w:tcBorders>
              <w:top w:val="single" w:sz="4" w:space="0" w:color="auto"/>
              <w:left w:val="single" w:sz="4" w:space="0" w:color="auto"/>
              <w:bottom w:val="single" w:sz="4" w:space="0" w:color="auto"/>
              <w:right w:val="single" w:sz="4" w:space="0" w:color="auto"/>
            </w:tcBorders>
          </w:tcPr>
          <w:p w:rsidR="00834F65" w:rsidRDefault="00834F65" w:rsidP="005F73EA">
            <w:pPr>
              <w:rPr>
                <w:rFonts w:ascii="Times New Roman" w:hAnsi="Times New Roman"/>
              </w:rPr>
            </w:pPr>
          </w:p>
        </w:tc>
      </w:tr>
      <w:tr w:rsidR="00834F65" w:rsidTr="003D40DC">
        <w:tc>
          <w:tcPr>
            <w:tcW w:w="1951"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June 2010</w:t>
            </w:r>
          </w:p>
        </w:tc>
        <w:tc>
          <w:tcPr>
            <w:tcW w:w="1559"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 -1.6</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-1.9</w:t>
            </w:r>
          </w:p>
        </w:tc>
        <w:tc>
          <w:tcPr>
            <w:tcW w:w="1573"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rPr>
            </w:pPr>
            <w:r>
              <w:rPr>
                <w:rFonts w:ascii="Times New Roman" w:hAnsi="Times New Roman"/>
              </w:rPr>
              <w:t xml:space="preserve">   n.a.</w:t>
            </w:r>
          </w:p>
        </w:tc>
        <w:tc>
          <w:tcPr>
            <w:tcW w:w="1654" w:type="dxa"/>
            <w:tcBorders>
              <w:top w:val="single" w:sz="4" w:space="0" w:color="auto"/>
              <w:left w:val="single" w:sz="4" w:space="0" w:color="auto"/>
              <w:bottom w:val="single" w:sz="4" w:space="0" w:color="auto"/>
              <w:right w:val="single" w:sz="4" w:space="0" w:color="auto"/>
            </w:tcBorders>
          </w:tcPr>
          <w:p w:rsidR="00834F65" w:rsidRDefault="00834F65" w:rsidP="005F73EA">
            <w:pPr>
              <w:rPr>
                <w:rFonts w:ascii="Times New Roman" w:hAnsi="Times New Roman"/>
              </w:rPr>
            </w:pPr>
          </w:p>
        </w:tc>
      </w:tr>
    </w:tbl>
    <w:p w:rsidR="00DD5731" w:rsidRDefault="00DD5731" w:rsidP="005F73EA">
      <w:pPr>
        <w:spacing w:after="0" w:line="240" w:lineRule="auto"/>
        <w:rPr>
          <w:rFonts w:ascii="Times New Roman" w:hAnsi="Times New Roman"/>
          <w:sz w:val="18"/>
        </w:rPr>
      </w:pPr>
    </w:p>
    <w:p w:rsidR="00834F65" w:rsidRDefault="00834F65" w:rsidP="005F73EA">
      <w:pPr>
        <w:spacing w:after="0" w:line="240" w:lineRule="auto"/>
        <w:rPr>
          <w:rFonts w:ascii="Times New Roman" w:hAnsi="Times New Roman"/>
          <w:sz w:val="18"/>
        </w:rPr>
      </w:pPr>
      <w:r>
        <w:rPr>
          <w:rFonts w:ascii="Times New Roman" w:hAnsi="Times New Roman"/>
          <w:sz w:val="18"/>
        </w:rPr>
        <w:t xml:space="preserve">Source: Central Bank of Ireland, Business Credit and Deposits various </w:t>
      </w:r>
      <w:r w:rsidR="00DD5731">
        <w:rPr>
          <w:rFonts w:ascii="Times New Roman" w:hAnsi="Times New Roman"/>
          <w:sz w:val="18"/>
        </w:rPr>
        <w:t xml:space="preserve">issues, </w:t>
      </w:r>
      <w:r>
        <w:rPr>
          <w:rFonts w:ascii="Times New Roman" w:hAnsi="Times New Roman"/>
          <w:sz w:val="18"/>
        </w:rPr>
        <w:t>Table A14 and A14.1 and ECB Monetary Developments in the Euro Area various issues.</w:t>
      </w:r>
    </w:p>
    <w:p w:rsidR="00834F65" w:rsidRDefault="00834F65" w:rsidP="005F73EA">
      <w:pPr>
        <w:spacing w:after="0" w:line="240" w:lineRule="auto"/>
        <w:rPr>
          <w:rFonts w:ascii="Times New Roman" w:hAnsi="Times New Roman"/>
        </w:rPr>
      </w:pPr>
    </w:p>
    <w:p w:rsidR="00834F65" w:rsidRPr="00797A85" w:rsidRDefault="00834F65" w:rsidP="005F73EA">
      <w:pPr>
        <w:spacing w:after="0" w:line="240" w:lineRule="auto"/>
        <w:jc w:val="both"/>
        <w:rPr>
          <w:rFonts w:ascii="Times New Roman" w:hAnsi="Times New Roman"/>
        </w:rPr>
      </w:pPr>
      <w:r w:rsidRPr="00797A85">
        <w:rPr>
          <w:rFonts w:ascii="Times New Roman" w:hAnsi="Times New Roman"/>
        </w:rPr>
        <w:t xml:space="preserve">The absence of credit particularly affects SME’s. </w:t>
      </w:r>
    </w:p>
    <w:p w:rsidR="00834F65" w:rsidRPr="005B2D24" w:rsidRDefault="00834F65" w:rsidP="005F73EA">
      <w:pPr>
        <w:pStyle w:val="ListParagraph"/>
        <w:numPr>
          <w:ilvl w:val="0"/>
          <w:numId w:val="6"/>
        </w:numPr>
        <w:spacing w:after="0" w:line="240" w:lineRule="auto"/>
        <w:jc w:val="both"/>
        <w:rPr>
          <w:rFonts w:ascii="Times New Roman" w:hAnsi="Times New Roman"/>
        </w:rPr>
      </w:pPr>
      <w:r>
        <w:rPr>
          <w:rFonts w:ascii="Times New Roman" w:hAnsi="Times New Roman"/>
        </w:rPr>
        <w:t>Large firms are cash rich.  Apple has reported holding cash holdings of $97 billion at the end of  2011 (Reuters 26</w:t>
      </w:r>
      <w:r>
        <w:rPr>
          <w:rFonts w:ascii="Times New Roman" w:hAnsi="Times New Roman"/>
          <w:vertAlign w:val="superscript"/>
        </w:rPr>
        <w:t>th</w:t>
      </w:r>
      <w:r>
        <w:rPr>
          <w:rFonts w:ascii="Times New Roman" w:hAnsi="Times New Roman"/>
        </w:rPr>
        <w:t xml:space="preserve"> January, 2012),  Google $40 billion (Davidoff, 2011).</w:t>
      </w:r>
    </w:p>
    <w:p w:rsidR="00834F65" w:rsidRPr="00AD356B" w:rsidRDefault="00834F65" w:rsidP="005F73EA">
      <w:pPr>
        <w:pStyle w:val="ListParagraph"/>
        <w:numPr>
          <w:ilvl w:val="0"/>
          <w:numId w:val="6"/>
        </w:numPr>
        <w:spacing w:after="0" w:line="240" w:lineRule="auto"/>
        <w:jc w:val="both"/>
        <w:rPr>
          <w:rFonts w:ascii="Times New Roman" w:hAnsi="Times New Roman"/>
        </w:rPr>
      </w:pPr>
      <w:r w:rsidRPr="005B2D24">
        <w:rPr>
          <w:rFonts w:ascii="Times New Roman" w:hAnsi="Times New Roman"/>
        </w:rPr>
        <w:t>Moodys (2012) estimated that</w:t>
      </w:r>
      <w:r w:rsidRPr="005B2D24">
        <w:rPr>
          <w:rStyle w:val="Hyperlink"/>
          <w:rFonts w:ascii="Times New Roman" w:hAnsi="Times New Roman" w:cs="Arial"/>
          <w:color w:val="000000"/>
          <w:szCs w:val="18"/>
        </w:rPr>
        <w:t xml:space="preserve"> </w:t>
      </w:r>
      <w:r w:rsidRPr="005B2D24">
        <w:rPr>
          <w:rStyle w:val="apple-converted-space"/>
          <w:rFonts w:ascii="Times New Roman" w:hAnsi="Times New Roman" w:cs="Arial"/>
          <w:color w:val="000000"/>
          <w:szCs w:val="18"/>
        </w:rPr>
        <w:t> </w:t>
      </w:r>
      <w:r w:rsidRPr="005B2D24">
        <w:rPr>
          <w:rFonts w:ascii="Times New Roman" w:hAnsi="Times New Roman" w:cs="Arial"/>
          <w:color w:val="000000"/>
          <w:szCs w:val="18"/>
        </w:rPr>
        <w:t>US non-financial corporate cash holdings amounted to $1240 billion at the end of 2011. Apple Inc., Microsoft, Cisco, Google and Pfizer held $276 billion.</w:t>
      </w:r>
    </w:p>
    <w:p w:rsidR="00834F65" w:rsidRPr="00FB185F" w:rsidRDefault="00834F65" w:rsidP="005F73EA">
      <w:pPr>
        <w:pStyle w:val="ListParagraph"/>
        <w:numPr>
          <w:ilvl w:val="0"/>
          <w:numId w:val="6"/>
        </w:numPr>
        <w:spacing w:after="0" w:line="240" w:lineRule="auto"/>
        <w:jc w:val="both"/>
        <w:rPr>
          <w:rFonts w:ascii="Times New Roman" w:hAnsi="Times New Roman"/>
        </w:rPr>
      </w:pPr>
      <w:r w:rsidRPr="00FB185F">
        <w:rPr>
          <w:rFonts w:ascii="Times New Roman" w:hAnsi="Times New Roman" w:cs="Arial"/>
          <w:color w:val="000000"/>
          <w:szCs w:val="18"/>
        </w:rPr>
        <w:t xml:space="preserve">Cash and near cash instruments held by non-financial corporations in the eurozone increased </w:t>
      </w:r>
      <w:r>
        <w:rPr>
          <w:rFonts w:ascii="Times New Roman" w:hAnsi="Times New Roman" w:cs="Arial"/>
          <w:color w:val="000000"/>
          <w:szCs w:val="18"/>
        </w:rPr>
        <w:t xml:space="preserve">from </w:t>
      </w:r>
      <w:r>
        <w:rPr>
          <w:rFonts w:ascii="Times New Roman" w:hAnsi="Times New Roman" w:cs="Times New Roman"/>
          <w:color w:val="000000"/>
          <w:szCs w:val="18"/>
        </w:rPr>
        <w:t>€</w:t>
      </w:r>
      <w:r>
        <w:rPr>
          <w:rFonts w:ascii="Times New Roman" w:hAnsi="Times New Roman" w:cs="Arial"/>
          <w:color w:val="000000"/>
          <w:szCs w:val="18"/>
        </w:rPr>
        <w:t xml:space="preserve">1608 billion in Q1 2007 to </w:t>
      </w:r>
      <w:r>
        <w:rPr>
          <w:rFonts w:ascii="Times New Roman" w:hAnsi="Times New Roman" w:cs="Times New Roman"/>
          <w:color w:val="000000"/>
          <w:szCs w:val="18"/>
        </w:rPr>
        <w:t>€</w:t>
      </w:r>
      <w:r>
        <w:rPr>
          <w:rFonts w:ascii="Times New Roman" w:hAnsi="Times New Roman" w:cs="Arial"/>
          <w:color w:val="000000"/>
          <w:szCs w:val="18"/>
        </w:rPr>
        <w:t>1907 billion in December 2011 (Source:- ECB  Holdings of M3 by sector). Bloomberg estimate that 466 European companies held $691 billion in cash in September 2010 (Bloomberg November 30, 2010).</w:t>
      </w:r>
    </w:p>
    <w:p w:rsidR="00834F65" w:rsidRPr="005B2D24" w:rsidRDefault="00834F65" w:rsidP="005F73EA">
      <w:pPr>
        <w:pStyle w:val="ListParagraph"/>
        <w:spacing w:after="0" w:line="240" w:lineRule="auto"/>
        <w:jc w:val="both"/>
        <w:rPr>
          <w:rFonts w:ascii="Times New Roman" w:hAnsi="Times New Roman"/>
        </w:rPr>
      </w:pPr>
    </w:p>
    <w:p w:rsidR="00834F65" w:rsidRDefault="00834F65" w:rsidP="005F73EA">
      <w:pPr>
        <w:spacing w:after="0" w:line="240" w:lineRule="auto"/>
        <w:ind w:right="113"/>
        <w:jc w:val="both"/>
        <w:rPr>
          <w:rFonts w:ascii="Times New Roman" w:hAnsi="Times New Roman"/>
        </w:rPr>
      </w:pPr>
      <w:r>
        <w:rPr>
          <w:rFonts w:ascii="Times New Roman" w:hAnsi="Times New Roman"/>
        </w:rPr>
        <w:t xml:space="preserve">It is </w:t>
      </w:r>
      <w:r>
        <w:rPr>
          <w:rFonts w:ascii="Times New Roman" w:hAnsi="Times New Roman"/>
          <w:lang w:val="en-US"/>
        </w:rPr>
        <w:t xml:space="preserve">also </w:t>
      </w:r>
      <w:r>
        <w:rPr>
          <w:rFonts w:ascii="Times New Roman" w:hAnsi="Times New Roman"/>
        </w:rPr>
        <w:t>well known that  “Financial intermediaries and markets allocate credit less well under conditions of stress, with a bias against small firms who need to be carefully assessed and against new firms who have no track record” (Posen</w:t>
      </w:r>
      <w:r>
        <w:rPr>
          <w:rFonts w:ascii="Times New Roman" w:hAnsi="Times New Roman"/>
          <w:lang w:val="en-US"/>
        </w:rPr>
        <w:t>, 2011</w:t>
      </w:r>
      <w:r>
        <w:rPr>
          <w:rFonts w:ascii="Times New Roman" w:hAnsi="Times New Roman"/>
        </w:rPr>
        <w:t>).</w:t>
      </w:r>
    </w:p>
    <w:p w:rsidR="002F34F8" w:rsidRDefault="00834F65" w:rsidP="005F73EA">
      <w:pPr>
        <w:spacing w:after="0" w:line="240" w:lineRule="auto"/>
        <w:jc w:val="both"/>
        <w:rPr>
          <w:rFonts w:ascii="Times New Roman" w:hAnsi="Times New Roman"/>
          <w:lang w:val="en-US"/>
        </w:rPr>
      </w:pPr>
      <w:r>
        <w:rPr>
          <w:rFonts w:ascii="Times New Roman" w:hAnsi="Times New Roman"/>
        </w:rPr>
        <w:t>The problems with small firm financing is widely recognised.  All countries in the EU have policies to overcome market bias in the provision of fina</w:t>
      </w:r>
      <w:r>
        <w:rPr>
          <w:rFonts w:ascii="Times New Roman" w:hAnsi="Times New Roman"/>
          <w:lang w:val="en-US"/>
        </w:rPr>
        <w:t>n</w:t>
      </w:r>
      <w:r>
        <w:rPr>
          <w:rFonts w:ascii="Times New Roman" w:hAnsi="Times New Roman"/>
        </w:rPr>
        <w:t>ce to small firms.  These pol</w:t>
      </w:r>
      <w:r>
        <w:rPr>
          <w:rFonts w:ascii="Times New Roman" w:hAnsi="Times New Roman"/>
          <w:lang w:val="en-US"/>
        </w:rPr>
        <w:t>i</w:t>
      </w:r>
      <w:r>
        <w:rPr>
          <w:rFonts w:ascii="Times New Roman" w:hAnsi="Times New Roman"/>
        </w:rPr>
        <w:t>cies often include subsidised loans in</w:t>
      </w:r>
      <w:r>
        <w:rPr>
          <w:rFonts w:ascii="Times New Roman" w:hAnsi="Times New Roman"/>
          <w:lang w:val="en-US"/>
        </w:rPr>
        <w:t xml:space="preserve"> </w:t>
      </w:r>
      <w:r>
        <w:rPr>
          <w:rFonts w:ascii="Times New Roman" w:hAnsi="Times New Roman"/>
        </w:rPr>
        <w:t>the form of a ‘loan guararantee scheme’ (for example in the UK).  Bec</w:t>
      </w:r>
      <w:r>
        <w:rPr>
          <w:rFonts w:ascii="Times New Roman" w:hAnsi="Times New Roman"/>
          <w:lang w:val="en-US"/>
        </w:rPr>
        <w:t>au</w:t>
      </w:r>
      <w:r>
        <w:rPr>
          <w:rFonts w:ascii="Times New Roman" w:hAnsi="Times New Roman"/>
        </w:rPr>
        <w:t>se of the risk of displacement loan guarantee schemes (and the provision of finance to sm</w:t>
      </w:r>
      <w:r>
        <w:rPr>
          <w:rFonts w:ascii="Times New Roman" w:hAnsi="Times New Roman"/>
          <w:lang w:val="en-US"/>
        </w:rPr>
        <w:t>a</w:t>
      </w:r>
      <w:r>
        <w:rPr>
          <w:rFonts w:ascii="Times New Roman" w:hAnsi="Times New Roman"/>
        </w:rPr>
        <w:t>ll businees</w:t>
      </w:r>
      <w:r>
        <w:rPr>
          <w:rFonts w:ascii="Times New Roman" w:hAnsi="Times New Roman"/>
          <w:lang w:val="en-US"/>
        </w:rPr>
        <w:t>)</w:t>
      </w:r>
      <w:r>
        <w:rPr>
          <w:rFonts w:ascii="Times New Roman" w:hAnsi="Times New Roman"/>
        </w:rPr>
        <w:t xml:space="preserve"> is best done through a dedicated institution</w:t>
      </w:r>
      <w:r>
        <w:rPr>
          <w:rStyle w:val="FootnoteReference"/>
          <w:rFonts w:ascii="Times New Roman" w:hAnsi="Times New Roman"/>
        </w:rPr>
        <w:footnoteReference w:id="1"/>
      </w:r>
      <w:r>
        <w:rPr>
          <w:rFonts w:ascii="Times New Roman" w:hAnsi="Times New Roman"/>
        </w:rPr>
        <w:t>.  In several EU cou</w:t>
      </w:r>
      <w:r>
        <w:rPr>
          <w:rFonts w:ascii="Times New Roman" w:hAnsi="Times New Roman"/>
          <w:lang w:val="en-US"/>
        </w:rPr>
        <w:t>n</w:t>
      </w:r>
      <w:r>
        <w:rPr>
          <w:rFonts w:ascii="Times New Roman" w:hAnsi="Times New Roman"/>
        </w:rPr>
        <w:t xml:space="preserve">tries these dedicated institutions are limited both to a </w:t>
      </w:r>
      <w:r>
        <w:rPr>
          <w:rFonts w:ascii="Times New Roman" w:hAnsi="Times New Roman"/>
          <w:lang w:val="en-US"/>
        </w:rPr>
        <w:t xml:space="preserve">specific </w:t>
      </w:r>
      <w:r>
        <w:rPr>
          <w:rFonts w:ascii="Times New Roman" w:hAnsi="Times New Roman"/>
        </w:rPr>
        <w:t>sector</w:t>
      </w:r>
      <w:r>
        <w:rPr>
          <w:rFonts w:ascii="Times New Roman" w:hAnsi="Times New Roman"/>
          <w:lang w:val="en-US"/>
        </w:rPr>
        <w:t xml:space="preserve"> (for example agriculture and related enterprises)</w:t>
      </w:r>
      <w:r>
        <w:rPr>
          <w:rFonts w:ascii="Times New Roman" w:hAnsi="Times New Roman"/>
        </w:rPr>
        <w:t xml:space="preserve"> and geographically.  The reason why </w:t>
      </w:r>
      <w:r>
        <w:rPr>
          <w:rFonts w:ascii="Times New Roman" w:hAnsi="Times New Roman"/>
          <w:lang w:val="en-US"/>
        </w:rPr>
        <w:t xml:space="preserve">dedicated institutions </w:t>
      </w:r>
      <w:r>
        <w:rPr>
          <w:rFonts w:ascii="Times New Roman" w:hAnsi="Times New Roman"/>
        </w:rPr>
        <w:t>results in more efficient credit allocation, is that a universa</w:t>
      </w:r>
      <w:r>
        <w:rPr>
          <w:rFonts w:ascii="Times New Roman" w:hAnsi="Times New Roman"/>
          <w:lang w:val="en-US"/>
        </w:rPr>
        <w:t>l</w:t>
      </w:r>
      <w:r>
        <w:rPr>
          <w:rFonts w:ascii="Times New Roman" w:hAnsi="Times New Roman"/>
        </w:rPr>
        <w:t xml:space="preserve"> bank will alw</w:t>
      </w:r>
      <w:r>
        <w:rPr>
          <w:rFonts w:ascii="Times New Roman" w:hAnsi="Times New Roman"/>
          <w:lang w:val="en-US"/>
        </w:rPr>
        <w:t>ay</w:t>
      </w:r>
      <w:r>
        <w:rPr>
          <w:rFonts w:ascii="Times New Roman" w:hAnsi="Times New Roman"/>
        </w:rPr>
        <w:t>s have lower risk/more profitable lending opportuni</w:t>
      </w:r>
      <w:r>
        <w:rPr>
          <w:rFonts w:ascii="Times New Roman" w:hAnsi="Times New Roman"/>
          <w:lang w:val="en-US"/>
        </w:rPr>
        <w:t>ti</w:t>
      </w:r>
      <w:r>
        <w:rPr>
          <w:rFonts w:ascii="Times New Roman" w:hAnsi="Times New Roman"/>
        </w:rPr>
        <w:t>es than lending to SME’s.</w:t>
      </w:r>
    </w:p>
    <w:p w:rsidR="00820780" w:rsidRDefault="00820780" w:rsidP="005F73EA">
      <w:pPr>
        <w:spacing w:line="240" w:lineRule="auto"/>
        <w:jc w:val="both"/>
        <w:rPr>
          <w:rFonts w:ascii="Times New Roman" w:hAnsi="Times New Roman"/>
          <w:b/>
          <w:lang w:val="en-US"/>
        </w:rPr>
      </w:pPr>
    </w:p>
    <w:p w:rsidR="00C446B6" w:rsidRDefault="00125E05" w:rsidP="005F73EA">
      <w:pPr>
        <w:spacing w:line="240" w:lineRule="auto"/>
        <w:jc w:val="both"/>
        <w:rPr>
          <w:rFonts w:ascii="Times New Roman" w:hAnsi="Times New Roman"/>
          <w:b/>
        </w:rPr>
      </w:pPr>
      <w:r>
        <w:rPr>
          <w:rFonts w:ascii="Times New Roman" w:hAnsi="Times New Roman"/>
          <w:b/>
        </w:rPr>
        <w:t>(</w:t>
      </w:r>
      <w:r>
        <w:rPr>
          <w:rFonts w:ascii="Times New Roman" w:hAnsi="Times New Roman"/>
          <w:b/>
          <w:lang w:val="en-US"/>
        </w:rPr>
        <w:t>4</w:t>
      </w:r>
      <w:r w:rsidR="0092326A">
        <w:rPr>
          <w:rFonts w:ascii="Times New Roman" w:hAnsi="Times New Roman"/>
          <w:b/>
        </w:rPr>
        <w:t xml:space="preserve">) </w:t>
      </w:r>
      <w:r w:rsidR="002F34F8" w:rsidRPr="00DD5731">
        <w:rPr>
          <w:rFonts w:ascii="Times New Roman" w:hAnsi="Times New Roman"/>
          <w:b/>
        </w:rPr>
        <w:t>Policy Chan</w:t>
      </w:r>
      <w:r w:rsidR="00C446B6" w:rsidRPr="00DD5731">
        <w:rPr>
          <w:rFonts w:ascii="Times New Roman" w:hAnsi="Times New Roman"/>
          <w:b/>
        </w:rPr>
        <w:t>ges</w:t>
      </w:r>
    </w:p>
    <w:p w:rsidR="00125E05" w:rsidRDefault="00125E05" w:rsidP="005F73EA">
      <w:pPr>
        <w:spacing w:line="240" w:lineRule="auto"/>
        <w:jc w:val="both"/>
        <w:rPr>
          <w:rFonts w:ascii="Times New Roman" w:hAnsi="Times New Roman"/>
        </w:rPr>
      </w:pPr>
      <w:r w:rsidRPr="00125E05">
        <w:rPr>
          <w:rFonts w:ascii="Times New Roman" w:hAnsi="Times New Roman"/>
        </w:rPr>
        <w:t>As a result of the crisis there have been a number of policy changes in particular new EU institutions</w:t>
      </w:r>
      <w:r>
        <w:rPr>
          <w:rFonts w:ascii="Times New Roman" w:hAnsi="Times New Roman"/>
        </w:rPr>
        <w:t>.</w:t>
      </w:r>
    </w:p>
    <w:p w:rsidR="00125E05" w:rsidRDefault="00125E05" w:rsidP="005F73EA">
      <w:pPr>
        <w:spacing w:line="240" w:lineRule="auto"/>
        <w:jc w:val="both"/>
        <w:rPr>
          <w:rFonts w:ascii="Times New Roman" w:hAnsi="Times New Roman"/>
        </w:rPr>
      </w:pPr>
      <w:r>
        <w:rPr>
          <w:rFonts w:ascii="Times New Roman" w:hAnsi="Times New Roman"/>
        </w:rPr>
        <w:t xml:space="preserve">A major flaw in the design of the eurozone was the relative absence of institutional structure.  </w:t>
      </w:r>
    </w:p>
    <w:p w:rsidR="00125E05" w:rsidRDefault="00125E05" w:rsidP="005F73EA">
      <w:pPr>
        <w:spacing w:line="240" w:lineRule="auto"/>
        <w:jc w:val="both"/>
        <w:rPr>
          <w:rFonts w:ascii="Times New Roman" w:hAnsi="Times New Roman"/>
        </w:rPr>
      </w:pPr>
      <w:r>
        <w:rPr>
          <w:rFonts w:ascii="Times New Roman" w:hAnsi="Times New Roman"/>
        </w:rPr>
        <w:lastRenderedPageBreak/>
        <w:t xml:space="preserve">Several euro wide institutions have now been established and more are proposed. </w:t>
      </w:r>
    </w:p>
    <w:p w:rsidR="00125E05" w:rsidRDefault="00125E05" w:rsidP="005F73EA">
      <w:pPr>
        <w:spacing w:line="240" w:lineRule="auto"/>
        <w:jc w:val="both"/>
        <w:rPr>
          <w:rFonts w:ascii="Times New Roman" w:hAnsi="Times New Roman"/>
        </w:rPr>
      </w:pPr>
      <w:r>
        <w:rPr>
          <w:rFonts w:ascii="Times New Roman" w:hAnsi="Times New Roman"/>
        </w:rPr>
        <w:t>These have proved contentious, for example whether the proposed new banking regulator would regulate all banks or just the largest. In particular the Heads of Government agreement in June 2012 has considerable implications for Ireland, in particular the IFSC. Firms based in the IFSC (and other low tax financial centres), have been a central part of the financial crisis. It is likely that low corporate tax rates and  financial centres will be subject to greater regulation and taxation for example via a Financial Transactions Tax.  As a result of the financial and economic crisis in the eurozone more institutions have been established and more are proposed. For example a European system of financial supervision consisting of :-</w:t>
      </w:r>
    </w:p>
    <w:p w:rsidR="00125E05" w:rsidRPr="001B47E2" w:rsidRDefault="00125E05" w:rsidP="005F73EA">
      <w:pPr>
        <w:spacing w:line="240" w:lineRule="auto"/>
        <w:ind w:left="709"/>
        <w:jc w:val="both"/>
        <w:rPr>
          <w:rFonts w:ascii="Times New Roman" w:hAnsi="Times New Roman"/>
        </w:rPr>
      </w:pPr>
      <w:r w:rsidRPr="001B47E2">
        <w:rPr>
          <w:rFonts w:ascii="Times New Roman" w:hAnsi="Times New Roman"/>
        </w:rPr>
        <w:t xml:space="preserve">European Systemic Risk Board (http://www.esrb.europa.eu/about)  </w:t>
      </w:r>
    </w:p>
    <w:p w:rsidR="00125E05" w:rsidRPr="001B47E2" w:rsidRDefault="00125E05" w:rsidP="005F73EA">
      <w:pPr>
        <w:spacing w:line="240" w:lineRule="auto"/>
        <w:ind w:left="709"/>
        <w:rPr>
          <w:rFonts w:ascii="Times New Roman" w:hAnsi="Times New Roman"/>
        </w:rPr>
      </w:pPr>
      <w:r w:rsidRPr="001B47E2">
        <w:rPr>
          <w:rFonts w:ascii="Times New Roman" w:hAnsi="Times New Roman"/>
        </w:rPr>
        <w:t xml:space="preserve">European Banking Authority </w:t>
      </w:r>
      <w:r w:rsidRPr="001B47E2">
        <w:rPr>
          <w:rStyle w:val="smallfont"/>
          <w:rFonts w:ascii="Times New Roman" w:hAnsi="Times New Roman"/>
          <w:color w:val="0000FF"/>
          <w:u w:val="single"/>
        </w:rPr>
        <w:t>(</w:t>
      </w:r>
      <w:r w:rsidRPr="001B47E2">
        <w:rPr>
          <w:rFonts w:ascii="Times New Roman" w:hAnsi="Times New Roman"/>
          <w:lang w:val="en-US"/>
        </w:rPr>
        <w:t>http://www.eba.europa.eu/)</w:t>
      </w:r>
      <w:r w:rsidRPr="001B47E2">
        <w:rPr>
          <w:rFonts w:ascii="Times New Roman" w:hAnsi="Times New Roman"/>
        </w:rPr>
        <w:t xml:space="preserve">; </w:t>
      </w:r>
    </w:p>
    <w:p w:rsidR="00125E05" w:rsidRPr="001B47E2" w:rsidRDefault="00125E05" w:rsidP="005F73EA">
      <w:pPr>
        <w:spacing w:line="240" w:lineRule="auto"/>
        <w:ind w:left="709"/>
        <w:rPr>
          <w:rFonts w:ascii="Times New Roman" w:hAnsi="Times New Roman"/>
        </w:rPr>
      </w:pPr>
      <w:r w:rsidRPr="001B47E2">
        <w:rPr>
          <w:rFonts w:ascii="Times New Roman" w:hAnsi="Times New Roman"/>
        </w:rPr>
        <w:t xml:space="preserve">European Insurance and Occupational Pensions Authority (EIOP); </w:t>
      </w:r>
    </w:p>
    <w:p w:rsidR="00125E05" w:rsidRPr="001B47E2" w:rsidRDefault="00125E05" w:rsidP="005F73EA">
      <w:pPr>
        <w:spacing w:line="240" w:lineRule="auto"/>
        <w:ind w:left="709"/>
        <w:rPr>
          <w:rFonts w:ascii="Times New Roman" w:hAnsi="Times New Roman"/>
        </w:rPr>
      </w:pPr>
      <w:r w:rsidRPr="001B47E2">
        <w:rPr>
          <w:rFonts w:ascii="Times New Roman" w:hAnsi="Times New Roman"/>
        </w:rPr>
        <w:t xml:space="preserve">European Securities and Markets Authority (ESMA); </w:t>
      </w:r>
    </w:p>
    <w:p w:rsidR="00125E05" w:rsidRPr="001B47E2" w:rsidRDefault="00125E05" w:rsidP="005F73EA">
      <w:pPr>
        <w:spacing w:line="240" w:lineRule="auto"/>
        <w:ind w:left="709"/>
        <w:jc w:val="both"/>
        <w:rPr>
          <w:rFonts w:ascii="Times New Roman" w:hAnsi="Times New Roman"/>
        </w:rPr>
      </w:pPr>
      <w:r w:rsidRPr="001B47E2">
        <w:rPr>
          <w:rFonts w:ascii="Times New Roman" w:hAnsi="Times New Roman"/>
        </w:rPr>
        <w:t>Joint Committee of the European Supervisory Authorities (ESAs);</w:t>
      </w:r>
    </w:p>
    <w:p w:rsidR="00125E05" w:rsidRDefault="00125E05" w:rsidP="005F73EA">
      <w:pPr>
        <w:spacing w:line="240" w:lineRule="auto"/>
        <w:ind w:left="737"/>
        <w:rPr>
          <w:rFonts w:ascii="Times New Roman" w:hAnsi="Times New Roman"/>
        </w:rPr>
      </w:pPr>
      <w:r>
        <w:rPr>
          <w:rFonts w:ascii="Times New Roman" w:hAnsi="Times New Roman"/>
        </w:rPr>
        <w:t>ESMA securities market regulator</w:t>
      </w:r>
      <w:r>
        <w:rPr>
          <w:rFonts w:ascii="Times New Roman" w:hAnsi="Times New Roman"/>
          <w:lang w:val="en-US"/>
        </w:rPr>
        <w:t xml:space="preserve"> (regulating</w:t>
      </w:r>
      <w:r>
        <w:rPr>
          <w:rFonts w:ascii="Times New Roman" w:hAnsi="Times New Roman"/>
        </w:rPr>
        <w:t xml:space="preserve"> in particular credit rating agencies</w:t>
      </w:r>
      <w:r>
        <w:rPr>
          <w:rFonts w:ascii="Times New Roman" w:hAnsi="Times New Roman"/>
          <w:lang w:val="en-US"/>
        </w:rPr>
        <w:t>)</w:t>
      </w:r>
      <w:r>
        <w:rPr>
          <w:rFonts w:ascii="Times New Roman" w:hAnsi="Times New Roman"/>
        </w:rPr>
        <w:t xml:space="preserve"> </w:t>
      </w:r>
      <w:r w:rsidRPr="006B7462">
        <w:rPr>
          <w:rFonts w:ascii="Times New Roman" w:hAnsi="Times New Roman"/>
        </w:rPr>
        <w:t>(</w:t>
      </w:r>
      <w:hyperlink r:id="rId13" w:history="1">
        <w:r w:rsidRPr="006B7462">
          <w:rPr>
            <w:rStyle w:val="Hyperlink"/>
            <w:rFonts w:ascii="Times New Roman" w:hAnsi="Times New Roman"/>
          </w:rPr>
          <w:t>http://www.esma.europa.eu</w:t>
        </w:r>
      </w:hyperlink>
      <w:hyperlink r:id="rId14" w:history="1">
        <w:r w:rsidRPr="006B7462">
          <w:rPr>
            <w:rStyle w:val="Hyperlink"/>
            <w:rFonts w:ascii="Times New Roman" w:hAnsi="Times New Roman"/>
          </w:rPr>
          <w:t>/</w:t>
        </w:r>
      </w:hyperlink>
      <w:r w:rsidRPr="006B7462">
        <w:rPr>
          <w:rFonts w:ascii="Times New Roman" w:hAnsi="Times New Roman"/>
        </w:rPr>
        <w:t>)  In particular in relation to the sovereign debt crisis two further institutions were established</w:t>
      </w:r>
      <w:r>
        <w:rPr>
          <w:rFonts w:ascii="Times New Roman" w:hAnsi="Times New Roman"/>
        </w:rPr>
        <w:t>.</w:t>
      </w:r>
    </w:p>
    <w:p w:rsidR="00125E05" w:rsidRDefault="00125E05" w:rsidP="005F73EA">
      <w:pPr>
        <w:spacing w:line="240" w:lineRule="auto"/>
        <w:ind w:left="720"/>
        <w:rPr>
          <w:rFonts w:ascii="Times New Roman" w:hAnsi="Times New Roman"/>
        </w:rPr>
      </w:pPr>
      <w:r>
        <w:rPr>
          <w:rFonts w:ascii="Times New Roman" w:hAnsi="Times New Roman"/>
        </w:rPr>
        <w:t>EFSM – European Financial Stability mechanism (see http://ec.europa.eu/economy_finance/eu_borrower/efsm/index_en.htm)</w:t>
      </w:r>
    </w:p>
    <w:p w:rsidR="00125E05" w:rsidRPr="001D5AD7" w:rsidRDefault="00125E05" w:rsidP="005F73EA">
      <w:pPr>
        <w:spacing w:line="240" w:lineRule="auto"/>
        <w:ind w:left="720"/>
        <w:rPr>
          <w:rFonts w:ascii="Times New Roman" w:hAnsi="Times New Roman"/>
        </w:rPr>
      </w:pPr>
      <w:r w:rsidRPr="001D5AD7">
        <w:rPr>
          <w:rFonts w:ascii="Times New Roman" w:hAnsi="Times New Roman"/>
        </w:rPr>
        <w:t>ESM European Stability mechanism see http://www.ecb.int/pub/pdf/oth</w:t>
      </w:r>
      <w:r>
        <w:rPr>
          <w:rFonts w:ascii="Times New Roman" w:hAnsi="Times New Roman"/>
        </w:rPr>
        <w:t>er</w:t>
      </w:r>
    </w:p>
    <w:p w:rsidR="00125E05" w:rsidRPr="001D5AD7" w:rsidRDefault="00125E05" w:rsidP="005F73EA">
      <w:pPr>
        <w:spacing w:line="240" w:lineRule="auto"/>
        <w:ind w:left="720"/>
        <w:rPr>
          <w:rFonts w:ascii="Times New Roman" w:hAnsi="Times New Roman"/>
          <w:lang w:val="en-US"/>
        </w:rPr>
      </w:pPr>
    </w:p>
    <w:p w:rsidR="00125E05" w:rsidRDefault="00125E05" w:rsidP="005F73EA">
      <w:pPr>
        <w:spacing w:line="240" w:lineRule="auto"/>
        <w:jc w:val="both"/>
        <w:rPr>
          <w:rFonts w:ascii="Times New Roman" w:hAnsi="Times New Roman"/>
          <w:lang w:val="en-US"/>
        </w:rPr>
      </w:pPr>
      <w:r>
        <w:rPr>
          <w:rFonts w:ascii="Times New Roman" w:hAnsi="Times New Roman"/>
          <w:lang w:val="en-US"/>
        </w:rPr>
        <w:t>The Heads of Government agreement on 29</w:t>
      </w:r>
      <w:r>
        <w:rPr>
          <w:rFonts w:ascii="Times New Roman" w:hAnsi="Times New Roman"/>
          <w:vertAlign w:val="superscript"/>
          <w:lang w:val="en-US"/>
        </w:rPr>
        <w:t>th</w:t>
      </w:r>
      <w:r>
        <w:rPr>
          <w:rFonts w:ascii="Times New Roman" w:hAnsi="Times New Roman"/>
          <w:lang w:val="en-US"/>
        </w:rPr>
        <w:t xml:space="preserve"> June was of particular interest. It was brief (approx 300 words) but contained a commitment that the “Eurogroup will examine the situation of the Irish financial sector” which implies that some of the financing already provided by the State to Irish banks would instead be provided by the ESM/EFSF, with consequent beneficial effects on the level of government borrowing. The subsequent fall in Irish bond yields can be partly attributed to this statement. Further falls have been due to the statement by the ECB President in July of unconditional support for the Euro within the mandate of the ECB</w:t>
      </w:r>
      <w:r>
        <w:rPr>
          <w:rStyle w:val="FootnoteReference"/>
          <w:rFonts w:ascii="Times New Roman" w:hAnsi="Times New Roman"/>
          <w:lang w:val="en-US"/>
        </w:rPr>
        <w:footnoteReference w:id="2"/>
      </w:r>
      <w:r>
        <w:rPr>
          <w:rFonts w:ascii="Times New Roman" w:hAnsi="Times New Roman"/>
          <w:lang w:val="en-US"/>
        </w:rPr>
        <w:t>, and to the  policy announcement by the ECB to engage in sovereign bond purchases in the secondary market (Draghi, 2012b)</w:t>
      </w:r>
      <w:r>
        <w:rPr>
          <w:rStyle w:val="FootnoteReference"/>
          <w:rFonts w:ascii="Times New Roman" w:hAnsi="Times New Roman"/>
          <w:lang w:val="en-US"/>
        </w:rPr>
        <w:footnoteReference w:id="3"/>
      </w:r>
      <w:r>
        <w:rPr>
          <w:rFonts w:ascii="Times New Roman" w:hAnsi="Times New Roman"/>
          <w:lang w:val="en-US"/>
        </w:rPr>
        <w:t xml:space="preserve">. </w:t>
      </w:r>
    </w:p>
    <w:p w:rsidR="00125E05" w:rsidRDefault="00125E05" w:rsidP="005F73EA">
      <w:pPr>
        <w:spacing w:line="240" w:lineRule="auto"/>
        <w:jc w:val="both"/>
        <w:rPr>
          <w:rFonts w:ascii="Times New Roman" w:hAnsi="Times New Roman"/>
          <w:lang w:val="en-US"/>
        </w:rPr>
      </w:pPr>
      <w:r>
        <w:rPr>
          <w:rFonts w:ascii="Times New Roman" w:hAnsi="Times New Roman"/>
          <w:lang w:val="en-US"/>
        </w:rPr>
        <w:t>The other key points in this agreement were:-</w:t>
      </w:r>
    </w:p>
    <w:p w:rsidR="00125E05" w:rsidRDefault="00125E05" w:rsidP="005F73EA">
      <w:pPr>
        <w:pStyle w:val="ListParagraph"/>
        <w:numPr>
          <w:ilvl w:val="0"/>
          <w:numId w:val="4"/>
        </w:numPr>
        <w:spacing w:line="240" w:lineRule="auto"/>
        <w:jc w:val="both"/>
        <w:rPr>
          <w:rFonts w:ascii="Times New Roman" w:hAnsi="Times New Roman"/>
          <w:lang w:val="en-US"/>
        </w:rPr>
      </w:pPr>
      <w:r>
        <w:rPr>
          <w:rFonts w:ascii="Times New Roman" w:hAnsi="Times New Roman"/>
          <w:lang w:val="en-US"/>
        </w:rPr>
        <w:t>A single supervisor for the Eurozone;</w:t>
      </w:r>
    </w:p>
    <w:p w:rsidR="00125E05" w:rsidRDefault="00125E05" w:rsidP="005F73EA">
      <w:pPr>
        <w:pStyle w:val="ListParagraph"/>
        <w:numPr>
          <w:ilvl w:val="0"/>
          <w:numId w:val="4"/>
        </w:numPr>
        <w:spacing w:line="240" w:lineRule="auto"/>
        <w:jc w:val="both"/>
        <w:rPr>
          <w:rFonts w:ascii="Times New Roman" w:hAnsi="Times New Roman"/>
          <w:lang w:val="en-US"/>
        </w:rPr>
      </w:pPr>
      <w:r>
        <w:rPr>
          <w:rFonts w:ascii="Times New Roman" w:hAnsi="Times New Roman"/>
          <w:lang w:val="en-US"/>
        </w:rPr>
        <w:t>Recapitalization of banks from the ESM (and in the interim EFSF);</w:t>
      </w:r>
    </w:p>
    <w:p w:rsidR="00125E05" w:rsidRDefault="00125E05" w:rsidP="005F73EA">
      <w:pPr>
        <w:pStyle w:val="ListParagraph"/>
        <w:numPr>
          <w:ilvl w:val="0"/>
          <w:numId w:val="4"/>
        </w:numPr>
        <w:spacing w:line="240" w:lineRule="auto"/>
        <w:jc w:val="both"/>
        <w:rPr>
          <w:rFonts w:ascii="Times New Roman" w:hAnsi="Times New Roman"/>
          <w:lang w:val="en-US"/>
        </w:rPr>
      </w:pPr>
      <w:r>
        <w:rPr>
          <w:rFonts w:ascii="Times New Roman" w:hAnsi="Times New Roman"/>
          <w:lang w:val="en-US"/>
        </w:rPr>
        <w:t>This would be conditional and formalized in a Memorandum of Understanding (MOU);</w:t>
      </w:r>
    </w:p>
    <w:p w:rsidR="00125E05" w:rsidRPr="00125E05" w:rsidRDefault="00125E05" w:rsidP="005F73EA">
      <w:pPr>
        <w:pStyle w:val="ListParagraph"/>
        <w:numPr>
          <w:ilvl w:val="0"/>
          <w:numId w:val="4"/>
        </w:numPr>
        <w:spacing w:line="240" w:lineRule="auto"/>
        <w:jc w:val="both"/>
        <w:rPr>
          <w:rFonts w:ascii="Times New Roman" w:hAnsi="Times New Roman"/>
          <w:lang w:val="en-US"/>
        </w:rPr>
      </w:pPr>
      <w:r>
        <w:rPr>
          <w:rFonts w:ascii="Times New Roman" w:hAnsi="Times New Roman"/>
          <w:lang w:val="en-US"/>
        </w:rPr>
        <w:t xml:space="preserve">The ECB will serve as the agent of the EFSF/ESM in conducting bond support activities, without entering a “bailout programme”  </w:t>
      </w:r>
    </w:p>
    <w:p w:rsidR="00834F65" w:rsidRDefault="00834F65" w:rsidP="005F73EA">
      <w:pPr>
        <w:spacing w:line="240" w:lineRule="auto"/>
        <w:jc w:val="both"/>
        <w:rPr>
          <w:rFonts w:ascii="Times New Roman" w:hAnsi="Times New Roman"/>
          <w:lang w:val="en-US"/>
        </w:rPr>
      </w:pPr>
      <w:r w:rsidRPr="00834F65">
        <w:rPr>
          <w:rFonts w:ascii="Times New Roman" w:hAnsi="Times New Roman"/>
          <w:lang w:val="en-US"/>
        </w:rPr>
        <w:t xml:space="preserve"> </w:t>
      </w:r>
      <w:r>
        <w:rPr>
          <w:rFonts w:ascii="Times New Roman" w:hAnsi="Times New Roman"/>
          <w:lang w:val="en-US"/>
        </w:rPr>
        <w:t xml:space="preserve">New institutional arrangements are </w:t>
      </w:r>
      <w:r w:rsidR="00125E05">
        <w:rPr>
          <w:rFonts w:ascii="Times New Roman" w:hAnsi="Times New Roman"/>
          <w:lang w:val="en-US"/>
        </w:rPr>
        <w:t xml:space="preserve">also </w:t>
      </w:r>
      <w:r>
        <w:rPr>
          <w:rFonts w:ascii="Times New Roman" w:hAnsi="Times New Roman"/>
          <w:lang w:val="en-US"/>
        </w:rPr>
        <w:t xml:space="preserve">required </w:t>
      </w:r>
      <w:r w:rsidR="00125E05">
        <w:rPr>
          <w:rFonts w:ascii="Times New Roman" w:hAnsi="Times New Roman"/>
          <w:lang w:val="en-US"/>
        </w:rPr>
        <w:t>within Ireland. I</w:t>
      </w:r>
      <w:r>
        <w:rPr>
          <w:rFonts w:ascii="Times New Roman" w:hAnsi="Times New Roman"/>
          <w:lang w:val="en-US"/>
        </w:rPr>
        <w:t xml:space="preserve">t is irrational to expect a universal bank to lend to SME’s given expected risk/return relationships, level of resources required by the </w:t>
      </w:r>
      <w:r>
        <w:rPr>
          <w:rFonts w:ascii="Times New Roman" w:hAnsi="Times New Roman"/>
          <w:lang w:val="en-US"/>
        </w:rPr>
        <w:lastRenderedPageBreak/>
        <w:t>lender, and specific industry and embedded  knowledge. Acquiring and maintaining such expertise is costly, and cannot be easily acquired and replicated.</w:t>
      </w:r>
    </w:p>
    <w:p w:rsidR="00834F65" w:rsidRDefault="00834F65" w:rsidP="005F73EA">
      <w:pPr>
        <w:spacing w:line="240" w:lineRule="auto"/>
        <w:jc w:val="both"/>
        <w:rPr>
          <w:rFonts w:ascii="Times New Roman" w:hAnsi="Times New Roman"/>
          <w:lang w:val="en-US"/>
        </w:rPr>
      </w:pPr>
      <w:r>
        <w:rPr>
          <w:rFonts w:ascii="Times New Roman" w:hAnsi="Times New Roman"/>
          <w:lang w:val="en-US"/>
        </w:rPr>
        <w:t>In addition, new  funding sources for investment including SMES’s and business start ups arising from the EU growth pact agreed on 29</w:t>
      </w:r>
      <w:r>
        <w:rPr>
          <w:rFonts w:ascii="Times New Roman" w:hAnsi="Times New Roman"/>
          <w:vertAlign w:val="superscript"/>
          <w:lang w:val="en-US"/>
        </w:rPr>
        <w:t>th</w:t>
      </w:r>
      <w:r>
        <w:rPr>
          <w:rFonts w:ascii="Times New Roman" w:hAnsi="Times New Roman"/>
          <w:lang w:val="en-US"/>
        </w:rPr>
        <w:t xml:space="preserve"> June (for example possible EIB funding, project bonds and the use of structural funds – Irish Times, 29/6/2012) are more likely to result in additional finance (rather than replacement finance) if channeled through new/alternative banking.</w:t>
      </w:r>
    </w:p>
    <w:p w:rsidR="00834F65" w:rsidRDefault="00834F65" w:rsidP="005F73EA">
      <w:pPr>
        <w:spacing w:line="240" w:lineRule="auto"/>
        <w:jc w:val="both"/>
        <w:rPr>
          <w:rFonts w:ascii="Times New Roman" w:hAnsi="Times New Roman"/>
          <w:lang w:val="en-US"/>
        </w:rPr>
      </w:pPr>
      <w:r>
        <w:rPr>
          <w:rFonts w:ascii="Times New Roman" w:hAnsi="Times New Roman"/>
          <w:lang w:val="en-US"/>
        </w:rPr>
        <w:t xml:space="preserve">One possible source of new institutional lending is via cooperative banks. In other European countries co-operatively owned banks are large with an aggregate of </w:t>
      </w:r>
      <w:r>
        <w:rPr>
          <w:rFonts w:ascii="Times New Roman" w:hAnsi="Times New Roman" w:cs="Times New Roman"/>
          <w:lang w:val="en-US"/>
        </w:rPr>
        <w:t>€</w:t>
      </w:r>
      <w:r>
        <w:rPr>
          <w:rFonts w:ascii="Times New Roman" w:hAnsi="Times New Roman"/>
          <w:lang w:val="en-US"/>
        </w:rPr>
        <w:t>5658 billion in assets in 2010 and an estimated 5% of total deposits</w:t>
      </w:r>
      <w:r w:rsidRPr="00FA46DB">
        <w:rPr>
          <w:rFonts w:ascii="Times New Roman" w:hAnsi="Times New Roman"/>
          <w:lang w:val="en-US"/>
        </w:rPr>
        <w:t xml:space="preserve"> </w:t>
      </w:r>
      <w:r>
        <w:rPr>
          <w:rFonts w:ascii="Times New Roman" w:hAnsi="Times New Roman"/>
          <w:lang w:val="en-US"/>
        </w:rPr>
        <w:t xml:space="preserve">(European Association of Co-operative Banks Key Figures, 2010) but have accounted for a relatively low proportion of the costs of the financial crisis. One estimate is that on a global basis (European Association of Co-operative Banks, 2010, p. 9), cooperative banks accounted for under 3% of total global costs of the financial crisis (European Association of Co-operative Banks, 2010, p. 9). </w:t>
      </w:r>
    </w:p>
    <w:p w:rsidR="00834F65" w:rsidRDefault="00834F65" w:rsidP="005F73EA">
      <w:pPr>
        <w:spacing w:line="240" w:lineRule="auto"/>
        <w:jc w:val="both"/>
        <w:rPr>
          <w:rFonts w:ascii="Times New Roman" w:hAnsi="Times New Roman"/>
          <w:lang w:val="en-US"/>
        </w:rPr>
      </w:pPr>
      <w:r>
        <w:rPr>
          <w:rFonts w:ascii="Times New Roman" w:hAnsi="Times New Roman"/>
          <w:lang w:val="en-US"/>
        </w:rPr>
        <w:t>Fo</w:t>
      </w:r>
      <w:r w:rsidR="005F73EA">
        <w:rPr>
          <w:rFonts w:ascii="Times New Roman" w:hAnsi="Times New Roman"/>
          <w:lang w:val="en-US"/>
        </w:rPr>
        <w:t>r comparative purposes Table  (4</w:t>
      </w:r>
      <w:r>
        <w:rPr>
          <w:rFonts w:ascii="Times New Roman" w:hAnsi="Times New Roman"/>
          <w:lang w:val="en-US"/>
        </w:rPr>
        <w:t>) shows profits and losses for a selection of universal banks and mutually owned banks for t</w:t>
      </w:r>
      <w:r w:rsidR="00820780">
        <w:rPr>
          <w:rFonts w:ascii="Times New Roman" w:hAnsi="Times New Roman"/>
          <w:lang w:val="en-US"/>
        </w:rPr>
        <w:t>he three year period 2008-2010.</w:t>
      </w:r>
      <w:r>
        <w:rPr>
          <w:rFonts w:ascii="Times New Roman" w:hAnsi="Times New Roman"/>
          <w:lang w:val="en-US"/>
        </w:rPr>
        <w:t xml:space="preserve">  The best p</w:t>
      </w:r>
      <w:r w:rsidR="005F73EA">
        <w:rPr>
          <w:rFonts w:ascii="Times New Roman" w:hAnsi="Times New Roman"/>
          <w:lang w:val="en-US"/>
        </w:rPr>
        <w:t>erforming bank shown in Table (4</w:t>
      </w:r>
      <w:r>
        <w:rPr>
          <w:rFonts w:ascii="Times New Roman" w:hAnsi="Times New Roman"/>
          <w:lang w:val="en-US"/>
        </w:rPr>
        <w:t>) is a UK based cooperatively owned bank, Co-op bank.</w:t>
      </w:r>
    </w:p>
    <w:p w:rsidR="00834F65" w:rsidRDefault="00834F65" w:rsidP="005F73EA">
      <w:pPr>
        <w:spacing w:line="240" w:lineRule="auto"/>
        <w:jc w:val="center"/>
        <w:rPr>
          <w:rFonts w:ascii="Times New Roman" w:hAnsi="Times New Roman"/>
        </w:rPr>
      </w:pPr>
      <w:r>
        <w:rPr>
          <w:rFonts w:ascii="Times New Roman" w:hAnsi="Times New Roman"/>
        </w:rPr>
        <w:t>Table (</w:t>
      </w:r>
      <w:r w:rsidR="003500DD">
        <w:rPr>
          <w:rFonts w:ascii="Times New Roman" w:hAnsi="Times New Roman"/>
          <w:lang w:val="en-US"/>
        </w:rPr>
        <w:t>4</w:t>
      </w:r>
      <w:r>
        <w:rPr>
          <w:rFonts w:ascii="Times New Roman" w:hAnsi="Times New Roman"/>
        </w:rPr>
        <w:t>)</w:t>
      </w:r>
    </w:p>
    <w:p w:rsidR="00834F65" w:rsidRDefault="00834F65" w:rsidP="005F73EA">
      <w:pPr>
        <w:spacing w:line="240" w:lineRule="auto"/>
        <w:jc w:val="center"/>
        <w:rPr>
          <w:rFonts w:ascii="Times New Roman" w:hAnsi="Times New Roman"/>
        </w:rPr>
      </w:pPr>
      <w:r>
        <w:rPr>
          <w:rFonts w:ascii="Times New Roman" w:hAnsi="Times New Roman"/>
        </w:rPr>
        <w:t>Profits/Losses and Assets of Some Major Banks 2008-2010</w:t>
      </w:r>
    </w:p>
    <w:tbl>
      <w:tblPr>
        <w:tblStyle w:val="TableGrid"/>
        <w:tblW w:w="0" w:type="auto"/>
        <w:tblLook w:val="04A0" w:firstRow="1" w:lastRow="0" w:firstColumn="1" w:lastColumn="0" w:noHBand="0" w:noVBand="1"/>
      </w:tblPr>
      <w:tblGrid>
        <w:gridCol w:w="1242"/>
        <w:gridCol w:w="2410"/>
        <w:gridCol w:w="2268"/>
        <w:gridCol w:w="2268"/>
      </w:tblGrid>
      <w:tr w:rsidR="00834F65" w:rsidTr="003D40DC">
        <w:tc>
          <w:tcPr>
            <w:tcW w:w="1242" w:type="dxa"/>
            <w:tcBorders>
              <w:top w:val="single" w:sz="4" w:space="0" w:color="auto"/>
              <w:left w:val="single" w:sz="4" w:space="0" w:color="auto"/>
              <w:bottom w:val="single" w:sz="4" w:space="0" w:color="auto"/>
              <w:right w:val="single" w:sz="4" w:space="0" w:color="auto"/>
            </w:tcBorders>
          </w:tcPr>
          <w:p w:rsidR="00834F65" w:rsidRDefault="00834F65" w:rsidP="005F73EA">
            <w:pPr>
              <w:rPr>
                <w:rFonts w:ascii="Times New Roman" w:hAnsi="Times New Roman"/>
                <w:sz w:val="20"/>
              </w:rPr>
            </w:pPr>
          </w:p>
        </w:tc>
        <w:tc>
          <w:tcPr>
            <w:tcW w:w="2410"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lang w:val="en-US"/>
              </w:rPr>
            </w:pPr>
            <w:r>
              <w:rPr>
                <w:rFonts w:ascii="Times New Roman" w:hAnsi="Times New Roman"/>
                <w:sz w:val="20"/>
                <w:lang w:val="en-US"/>
              </w:rPr>
              <w:t>Reported Profits/Losses</w:t>
            </w:r>
          </w:p>
          <w:p w:rsidR="00834F65" w:rsidRDefault="00834F65" w:rsidP="005F73EA">
            <w:pPr>
              <w:rPr>
                <w:rFonts w:ascii="Times New Roman" w:hAnsi="Times New Roman"/>
                <w:sz w:val="20"/>
                <w:lang w:val="en-US"/>
              </w:rPr>
            </w:pPr>
            <w:r>
              <w:rPr>
                <w:rFonts w:ascii="Times New Roman" w:hAnsi="Times New Roman"/>
                <w:sz w:val="20"/>
                <w:lang w:val="en-US"/>
              </w:rPr>
              <w:t>various currencies</w:t>
            </w:r>
          </w:p>
          <w:p w:rsidR="00834F65" w:rsidRDefault="00834F65" w:rsidP="005F73EA">
            <w:pPr>
              <w:rPr>
                <w:rFonts w:ascii="Times New Roman" w:hAnsi="Times New Roman"/>
                <w:sz w:val="20"/>
                <w:lang w:val="en-US"/>
              </w:rPr>
            </w:pPr>
            <w:r>
              <w:rPr>
                <w:rFonts w:ascii="Times New Roman" w:hAnsi="Times New Roman"/>
                <w:sz w:val="20"/>
                <w:lang w:val="en-US"/>
              </w:rPr>
              <w:t>Million</w:t>
            </w:r>
          </w:p>
        </w:tc>
        <w:tc>
          <w:tcPr>
            <w:tcW w:w="2268"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lang w:val="en-US"/>
              </w:rPr>
            </w:pPr>
            <w:r>
              <w:rPr>
                <w:rFonts w:ascii="Times New Roman" w:hAnsi="Times New Roman"/>
                <w:sz w:val="20"/>
              </w:rPr>
              <w:t>Begin</w:t>
            </w:r>
            <w:r>
              <w:rPr>
                <w:rFonts w:ascii="Times New Roman" w:hAnsi="Times New Roman"/>
                <w:sz w:val="20"/>
                <w:lang w:val="en-US"/>
              </w:rPr>
              <w:t>i</w:t>
            </w:r>
            <w:r>
              <w:rPr>
                <w:rFonts w:ascii="Times New Roman" w:hAnsi="Times New Roman"/>
                <w:sz w:val="20"/>
              </w:rPr>
              <w:t>ng period total assets</w:t>
            </w:r>
            <w:r>
              <w:rPr>
                <w:rFonts w:ascii="Times New Roman" w:hAnsi="Times New Roman"/>
                <w:sz w:val="20"/>
                <w:lang w:val="en-US"/>
              </w:rPr>
              <w:t xml:space="preserve"> Various currencies</w:t>
            </w:r>
          </w:p>
          <w:p w:rsidR="00834F65" w:rsidRPr="003C08FC" w:rsidRDefault="00834F65" w:rsidP="005F73EA">
            <w:pPr>
              <w:rPr>
                <w:rFonts w:ascii="Times New Roman" w:hAnsi="Times New Roman"/>
                <w:sz w:val="20"/>
                <w:lang w:val="en-US"/>
              </w:rPr>
            </w:pPr>
            <w:r>
              <w:rPr>
                <w:rFonts w:ascii="Times New Roman" w:hAnsi="Times New Roman"/>
                <w:sz w:val="20"/>
                <w:lang w:val="en-US"/>
              </w:rPr>
              <w:t>Million</w:t>
            </w:r>
          </w:p>
        </w:tc>
        <w:tc>
          <w:tcPr>
            <w:tcW w:w="2268"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rPr>
            </w:pPr>
            <w:r>
              <w:rPr>
                <w:rFonts w:ascii="Times New Roman" w:hAnsi="Times New Roman"/>
                <w:sz w:val="20"/>
              </w:rPr>
              <w:t>% of beginning period assets lost/gained</w:t>
            </w:r>
          </w:p>
        </w:tc>
      </w:tr>
      <w:tr w:rsidR="00834F65" w:rsidTr="003D40DC">
        <w:tc>
          <w:tcPr>
            <w:tcW w:w="1242" w:type="dxa"/>
            <w:tcBorders>
              <w:top w:val="single" w:sz="4" w:space="0" w:color="auto"/>
              <w:left w:val="single" w:sz="4" w:space="0" w:color="auto"/>
              <w:bottom w:val="single" w:sz="4" w:space="0" w:color="auto"/>
              <w:right w:val="single" w:sz="4" w:space="0" w:color="auto"/>
            </w:tcBorders>
            <w:hideMark/>
          </w:tcPr>
          <w:p w:rsidR="00834F65" w:rsidRPr="003C08FC" w:rsidRDefault="00834F65" w:rsidP="005F73EA">
            <w:pPr>
              <w:rPr>
                <w:rFonts w:ascii="Times New Roman" w:hAnsi="Times New Roman"/>
                <w:sz w:val="20"/>
                <w:lang w:val="en-US"/>
              </w:rPr>
            </w:pPr>
            <w:r>
              <w:rPr>
                <w:rFonts w:ascii="Times New Roman" w:hAnsi="Times New Roman"/>
                <w:sz w:val="20"/>
              </w:rPr>
              <w:t xml:space="preserve">RBS </w:t>
            </w:r>
          </w:p>
        </w:tc>
        <w:tc>
          <w:tcPr>
            <w:tcW w:w="2410"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rPr>
            </w:pPr>
            <w:r>
              <w:rPr>
                <w:rFonts w:ascii="Times New Roman" w:hAnsi="Times New Roman"/>
                <w:sz w:val="20"/>
                <w:lang w:val="en-US"/>
              </w:rPr>
              <w:t xml:space="preserve">     Stg.                 -</w:t>
            </w:r>
            <w:r>
              <w:rPr>
                <w:rFonts w:ascii="Times New Roman" w:hAnsi="Times New Roman"/>
                <w:sz w:val="20"/>
              </w:rPr>
              <w:t>38,531</w:t>
            </w:r>
          </w:p>
        </w:tc>
        <w:tc>
          <w:tcPr>
            <w:tcW w:w="2268"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rPr>
            </w:pPr>
            <w:r>
              <w:rPr>
                <w:rFonts w:ascii="Times New Roman" w:hAnsi="Times New Roman"/>
                <w:sz w:val="20"/>
              </w:rPr>
              <w:t>2,218</w:t>
            </w:r>
            <w:r>
              <w:rPr>
                <w:rFonts w:ascii="Times New Roman" w:hAnsi="Times New Roman"/>
                <w:sz w:val="20"/>
                <w:lang w:val="en-US"/>
              </w:rPr>
              <w:t>,</w:t>
            </w:r>
            <w:r>
              <w:rPr>
                <w:rFonts w:ascii="Times New Roman" w:hAnsi="Times New Roman"/>
                <w:sz w:val="20"/>
              </w:rPr>
              <w:t>693</w:t>
            </w:r>
          </w:p>
        </w:tc>
        <w:tc>
          <w:tcPr>
            <w:tcW w:w="2268"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rPr>
            </w:pPr>
            <w:r>
              <w:rPr>
                <w:rFonts w:ascii="Times New Roman" w:hAnsi="Times New Roman"/>
                <w:sz w:val="20"/>
                <w:lang w:val="en-US"/>
              </w:rPr>
              <w:t xml:space="preserve">      </w:t>
            </w:r>
            <w:r>
              <w:rPr>
                <w:rFonts w:ascii="Times New Roman" w:hAnsi="Times New Roman"/>
                <w:sz w:val="20"/>
              </w:rPr>
              <w:t>-1.7</w:t>
            </w:r>
          </w:p>
        </w:tc>
      </w:tr>
      <w:tr w:rsidR="00834F65" w:rsidTr="003D40DC">
        <w:tc>
          <w:tcPr>
            <w:tcW w:w="1242" w:type="dxa"/>
            <w:tcBorders>
              <w:top w:val="single" w:sz="4" w:space="0" w:color="auto"/>
              <w:left w:val="single" w:sz="4" w:space="0" w:color="auto"/>
              <w:bottom w:val="single" w:sz="4" w:space="0" w:color="auto"/>
              <w:right w:val="single" w:sz="4" w:space="0" w:color="auto"/>
            </w:tcBorders>
            <w:hideMark/>
          </w:tcPr>
          <w:p w:rsidR="00834F65" w:rsidRPr="003C08FC" w:rsidRDefault="00834F65" w:rsidP="005F73EA">
            <w:pPr>
              <w:rPr>
                <w:rFonts w:ascii="Times New Roman" w:hAnsi="Times New Roman"/>
                <w:sz w:val="20"/>
                <w:lang w:val="en-US"/>
              </w:rPr>
            </w:pPr>
            <w:r>
              <w:rPr>
                <w:rFonts w:ascii="Times New Roman" w:hAnsi="Times New Roman"/>
                <w:sz w:val="20"/>
              </w:rPr>
              <w:t>UBS</w:t>
            </w:r>
          </w:p>
        </w:tc>
        <w:tc>
          <w:tcPr>
            <w:tcW w:w="2410"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rPr>
            </w:pPr>
            <w:r>
              <w:rPr>
                <w:rFonts w:ascii="Times New Roman" w:hAnsi="Times New Roman"/>
                <w:sz w:val="20"/>
                <w:lang w:val="en-US"/>
              </w:rPr>
              <w:t xml:space="preserve">    Swiss Francs   </w:t>
            </w:r>
            <w:r>
              <w:rPr>
                <w:rFonts w:ascii="Times New Roman" w:hAnsi="Times New Roman"/>
                <w:sz w:val="20"/>
              </w:rPr>
              <w:t>-21,292</w:t>
            </w:r>
          </w:p>
        </w:tc>
        <w:tc>
          <w:tcPr>
            <w:tcW w:w="2268"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rPr>
            </w:pPr>
            <w:r>
              <w:rPr>
                <w:rFonts w:ascii="Times New Roman" w:hAnsi="Times New Roman"/>
                <w:sz w:val="20"/>
              </w:rPr>
              <w:t>2,014,845</w:t>
            </w:r>
          </w:p>
        </w:tc>
        <w:tc>
          <w:tcPr>
            <w:tcW w:w="2268"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rPr>
            </w:pPr>
            <w:r>
              <w:rPr>
                <w:rFonts w:ascii="Times New Roman" w:hAnsi="Times New Roman"/>
                <w:sz w:val="20"/>
                <w:lang w:val="en-US"/>
              </w:rPr>
              <w:t xml:space="preserve">      </w:t>
            </w:r>
            <w:r>
              <w:rPr>
                <w:rFonts w:ascii="Times New Roman" w:hAnsi="Times New Roman"/>
                <w:sz w:val="20"/>
              </w:rPr>
              <w:t>-1.06</w:t>
            </w:r>
          </w:p>
        </w:tc>
      </w:tr>
      <w:tr w:rsidR="00834F65" w:rsidTr="003D40DC">
        <w:tc>
          <w:tcPr>
            <w:tcW w:w="1242" w:type="dxa"/>
            <w:tcBorders>
              <w:top w:val="single" w:sz="4" w:space="0" w:color="auto"/>
              <w:left w:val="single" w:sz="4" w:space="0" w:color="auto"/>
              <w:bottom w:val="single" w:sz="4" w:space="0" w:color="auto"/>
              <w:right w:val="single" w:sz="4" w:space="0" w:color="auto"/>
            </w:tcBorders>
            <w:hideMark/>
          </w:tcPr>
          <w:p w:rsidR="00834F65" w:rsidRPr="003C08FC" w:rsidRDefault="00834F65" w:rsidP="005F73EA">
            <w:pPr>
              <w:rPr>
                <w:rFonts w:ascii="Times New Roman" w:hAnsi="Times New Roman"/>
                <w:sz w:val="20"/>
                <w:lang w:val="en-US"/>
              </w:rPr>
            </w:pPr>
            <w:r>
              <w:rPr>
                <w:rFonts w:ascii="Times New Roman" w:hAnsi="Times New Roman"/>
                <w:sz w:val="20"/>
              </w:rPr>
              <w:t xml:space="preserve">Lloyds TSB </w:t>
            </w:r>
          </w:p>
        </w:tc>
        <w:tc>
          <w:tcPr>
            <w:tcW w:w="2410"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rPr>
            </w:pPr>
            <w:r>
              <w:rPr>
                <w:rFonts w:ascii="Times New Roman" w:hAnsi="Times New Roman"/>
                <w:sz w:val="20"/>
              </w:rPr>
              <w:t xml:space="preserve">  </w:t>
            </w:r>
            <w:r>
              <w:rPr>
                <w:rFonts w:ascii="Times New Roman" w:hAnsi="Times New Roman"/>
                <w:sz w:val="20"/>
                <w:lang w:val="en-US"/>
              </w:rPr>
              <w:t xml:space="preserve">   Stg.                   </w:t>
            </w:r>
            <w:r>
              <w:rPr>
                <w:rFonts w:ascii="Times New Roman" w:hAnsi="Times New Roman"/>
                <w:sz w:val="20"/>
              </w:rPr>
              <w:t>-3,075</w:t>
            </w:r>
          </w:p>
        </w:tc>
        <w:tc>
          <w:tcPr>
            <w:tcW w:w="2268"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rPr>
            </w:pPr>
            <w:r>
              <w:rPr>
                <w:rFonts w:ascii="Times New Roman" w:hAnsi="Times New Roman"/>
                <w:sz w:val="20"/>
              </w:rPr>
              <w:t xml:space="preserve">   </w:t>
            </w:r>
            <w:r>
              <w:rPr>
                <w:rFonts w:ascii="Times New Roman" w:hAnsi="Times New Roman"/>
                <w:sz w:val="20"/>
                <w:lang w:val="en-US"/>
              </w:rPr>
              <w:t xml:space="preserve"> </w:t>
            </w:r>
            <w:r>
              <w:rPr>
                <w:rFonts w:ascii="Times New Roman" w:hAnsi="Times New Roman"/>
                <w:sz w:val="20"/>
              </w:rPr>
              <w:t>436,033</w:t>
            </w:r>
          </w:p>
        </w:tc>
        <w:tc>
          <w:tcPr>
            <w:tcW w:w="2268"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rPr>
            </w:pPr>
            <w:r>
              <w:rPr>
                <w:rFonts w:ascii="Times New Roman" w:hAnsi="Times New Roman"/>
                <w:sz w:val="20"/>
                <w:lang w:val="en-US"/>
              </w:rPr>
              <w:t xml:space="preserve">      </w:t>
            </w:r>
            <w:r>
              <w:rPr>
                <w:rFonts w:ascii="Times New Roman" w:hAnsi="Times New Roman"/>
                <w:sz w:val="20"/>
              </w:rPr>
              <w:t>-0.70</w:t>
            </w:r>
          </w:p>
        </w:tc>
      </w:tr>
      <w:tr w:rsidR="00834F65" w:rsidTr="003D40DC">
        <w:tc>
          <w:tcPr>
            <w:tcW w:w="1242" w:type="dxa"/>
            <w:tcBorders>
              <w:top w:val="single" w:sz="4" w:space="0" w:color="auto"/>
              <w:left w:val="single" w:sz="4" w:space="0" w:color="auto"/>
              <w:bottom w:val="single" w:sz="4" w:space="0" w:color="auto"/>
              <w:right w:val="single" w:sz="4" w:space="0" w:color="auto"/>
            </w:tcBorders>
            <w:hideMark/>
          </w:tcPr>
          <w:p w:rsidR="00834F65" w:rsidRPr="003C08FC" w:rsidRDefault="00834F65" w:rsidP="005F73EA">
            <w:pPr>
              <w:rPr>
                <w:rFonts w:ascii="Times New Roman" w:hAnsi="Times New Roman"/>
                <w:sz w:val="20"/>
                <w:lang w:val="en-US"/>
              </w:rPr>
            </w:pPr>
            <w:r>
              <w:rPr>
                <w:rFonts w:ascii="Times New Roman" w:hAnsi="Times New Roman"/>
                <w:sz w:val="20"/>
              </w:rPr>
              <w:t xml:space="preserve">Co-op Bank </w:t>
            </w:r>
          </w:p>
        </w:tc>
        <w:tc>
          <w:tcPr>
            <w:tcW w:w="2410"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rPr>
            </w:pPr>
            <w:r>
              <w:rPr>
                <w:rFonts w:ascii="Times New Roman" w:hAnsi="Times New Roman"/>
                <w:sz w:val="20"/>
              </w:rPr>
              <w:t xml:space="preserve">     </w:t>
            </w:r>
            <w:r>
              <w:rPr>
                <w:rFonts w:ascii="Times New Roman" w:hAnsi="Times New Roman"/>
                <w:sz w:val="20"/>
                <w:lang w:val="en-US"/>
              </w:rPr>
              <w:t xml:space="preserve">Stg.                       </w:t>
            </w:r>
            <w:r>
              <w:rPr>
                <w:rFonts w:ascii="Times New Roman" w:hAnsi="Times New Roman"/>
                <w:sz w:val="20"/>
              </w:rPr>
              <w:t>370.2</w:t>
            </w:r>
          </w:p>
        </w:tc>
        <w:tc>
          <w:tcPr>
            <w:tcW w:w="2268"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rPr>
            </w:pPr>
            <w:r>
              <w:rPr>
                <w:rFonts w:ascii="Times New Roman" w:hAnsi="Times New Roman"/>
                <w:sz w:val="20"/>
              </w:rPr>
              <w:t xml:space="preserve">        6,200</w:t>
            </w:r>
          </w:p>
        </w:tc>
        <w:tc>
          <w:tcPr>
            <w:tcW w:w="2268"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rPr>
            </w:pPr>
            <w:r>
              <w:rPr>
                <w:rFonts w:ascii="Times New Roman" w:hAnsi="Times New Roman"/>
                <w:sz w:val="20"/>
                <w:lang w:val="en-US"/>
              </w:rPr>
              <w:t xml:space="preserve">      </w:t>
            </w:r>
            <w:r>
              <w:rPr>
                <w:rFonts w:ascii="Times New Roman" w:hAnsi="Times New Roman"/>
                <w:sz w:val="20"/>
              </w:rPr>
              <w:t xml:space="preserve"> 5.97</w:t>
            </w:r>
          </w:p>
        </w:tc>
      </w:tr>
      <w:tr w:rsidR="00834F65" w:rsidTr="003D40DC">
        <w:tc>
          <w:tcPr>
            <w:tcW w:w="1242" w:type="dxa"/>
            <w:tcBorders>
              <w:top w:val="single" w:sz="4" w:space="0" w:color="auto"/>
              <w:left w:val="single" w:sz="4" w:space="0" w:color="auto"/>
              <w:bottom w:val="single" w:sz="4" w:space="0" w:color="auto"/>
              <w:right w:val="single" w:sz="4" w:space="0" w:color="auto"/>
            </w:tcBorders>
            <w:hideMark/>
          </w:tcPr>
          <w:p w:rsidR="00834F65" w:rsidRPr="003C08FC" w:rsidRDefault="00834F65" w:rsidP="005F73EA">
            <w:pPr>
              <w:rPr>
                <w:rFonts w:ascii="Times New Roman" w:hAnsi="Times New Roman"/>
                <w:sz w:val="20"/>
                <w:lang w:val="en-US"/>
              </w:rPr>
            </w:pPr>
            <w:r>
              <w:rPr>
                <w:rFonts w:ascii="Times New Roman" w:hAnsi="Times New Roman"/>
                <w:sz w:val="20"/>
              </w:rPr>
              <w:t xml:space="preserve">Rabo Bank </w:t>
            </w:r>
          </w:p>
        </w:tc>
        <w:tc>
          <w:tcPr>
            <w:tcW w:w="2410"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rPr>
            </w:pPr>
            <w:r>
              <w:rPr>
                <w:rFonts w:ascii="Times New Roman" w:hAnsi="Times New Roman"/>
                <w:sz w:val="20"/>
              </w:rPr>
              <w:t xml:space="preserve">  </w:t>
            </w:r>
            <w:r>
              <w:rPr>
                <w:rFonts w:ascii="Times New Roman" w:hAnsi="Times New Roman"/>
                <w:sz w:val="20"/>
                <w:lang w:val="en-US"/>
              </w:rPr>
              <w:t xml:space="preserve">    Euro                  </w:t>
            </w:r>
            <w:r>
              <w:rPr>
                <w:rFonts w:ascii="Times New Roman" w:hAnsi="Times New Roman"/>
                <w:sz w:val="20"/>
              </w:rPr>
              <w:t>8,575</w:t>
            </w:r>
          </w:p>
        </w:tc>
        <w:tc>
          <w:tcPr>
            <w:tcW w:w="2268"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rPr>
            </w:pPr>
            <w:r>
              <w:rPr>
                <w:rFonts w:ascii="Times New Roman" w:hAnsi="Times New Roman"/>
                <w:sz w:val="20"/>
                <w:lang w:val="en-US"/>
              </w:rPr>
              <w:t xml:space="preserve">    </w:t>
            </w:r>
            <w:r>
              <w:rPr>
                <w:rFonts w:ascii="Times New Roman" w:hAnsi="Times New Roman"/>
                <w:sz w:val="20"/>
              </w:rPr>
              <w:t>612,120</w:t>
            </w:r>
          </w:p>
        </w:tc>
        <w:tc>
          <w:tcPr>
            <w:tcW w:w="2268" w:type="dxa"/>
            <w:tcBorders>
              <w:top w:val="single" w:sz="4" w:space="0" w:color="auto"/>
              <w:left w:val="single" w:sz="4" w:space="0" w:color="auto"/>
              <w:bottom w:val="single" w:sz="4" w:space="0" w:color="auto"/>
              <w:right w:val="single" w:sz="4" w:space="0" w:color="auto"/>
            </w:tcBorders>
            <w:hideMark/>
          </w:tcPr>
          <w:p w:rsidR="00834F65" w:rsidRDefault="00834F65" w:rsidP="005F73EA">
            <w:pPr>
              <w:rPr>
                <w:rFonts w:ascii="Times New Roman" w:hAnsi="Times New Roman"/>
                <w:sz w:val="20"/>
              </w:rPr>
            </w:pPr>
            <w:r>
              <w:rPr>
                <w:rFonts w:ascii="Times New Roman" w:hAnsi="Times New Roman"/>
                <w:sz w:val="20"/>
              </w:rPr>
              <w:t xml:space="preserve">   </w:t>
            </w:r>
            <w:r>
              <w:rPr>
                <w:rFonts w:ascii="Times New Roman" w:hAnsi="Times New Roman"/>
                <w:sz w:val="20"/>
                <w:lang w:val="en-US"/>
              </w:rPr>
              <w:t xml:space="preserve">    </w:t>
            </w:r>
            <w:r>
              <w:rPr>
                <w:rFonts w:ascii="Times New Roman" w:hAnsi="Times New Roman"/>
                <w:sz w:val="20"/>
              </w:rPr>
              <w:t>1.4</w:t>
            </w:r>
          </w:p>
        </w:tc>
      </w:tr>
    </w:tbl>
    <w:p w:rsidR="00834F65" w:rsidRDefault="00834F65" w:rsidP="005F73EA">
      <w:pPr>
        <w:spacing w:after="0" w:line="240" w:lineRule="auto"/>
        <w:rPr>
          <w:rFonts w:ascii="Times New Roman" w:hAnsi="Times New Roman"/>
          <w:lang w:val="en-US"/>
        </w:rPr>
      </w:pPr>
    </w:p>
    <w:p w:rsidR="00834F65" w:rsidRDefault="00834F65" w:rsidP="005F73EA">
      <w:pPr>
        <w:spacing w:after="0" w:line="240" w:lineRule="auto"/>
        <w:rPr>
          <w:rFonts w:ascii="Times New Roman" w:hAnsi="Times New Roman"/>
          <w:sz w:val="18"/>
          <w:lang w:val="en-US"/>
        </w:rPr>
      </w:pPr>
      <w:r>
        <w:rPr>
          <w:rFonts w:ascii="Times New Roman" w:hAnsi="Times New Roman"/>
          <w:sz w:val="18"/>
        </w:rPr>
        <w:t>Source: Annual Report and Accounts</w:t>
      </w:r>
    </w:p>
    <w:p w:rsidR="00834F65" w:rsidRPr="00332756" w:rsidRDefault="00834F65" w:rsidP="005F73EA">
      <w:pPr>
        <w:spacing w:after="0" w:line="240" w:lineRule="auto"/>
        <w:rPr>
          <w:rFonts w:ascii="Times New Roman" w:hAnsi="Times New Roman"/>
          <w:sz w:val="18"/>
          <w:lang w:val="en-US"/>
        </w:rPr>
      </w:pPr>
    </w:p>
    <w:p w:rsidR="00834F65" w:rsidRDefault="00834F65" w:rsidP="005F73EA">
      <w:pPr>
        <w:spacing w:line="240" w:lineRule="auto"/>
        <w:jc w:val="both"/>
        <w:rPr>
          <w:rFonts w:ascii="Times New Roman" w:hAnsi="Times New Roman"/>
          <w:lang w:val="en-US"/>
        </w:rPr>
      </w:pPr>
      <w:r>
        <w:rPr>
          <w:rFonts w:ascii="Times New Roman" w:hAnsi="Times New Roman"/>
          <w:lang w:val="en-US"/>
        </w:rPr>
        <w:t>In Ireland m</w:t>
      </w:r>
      <w:r>
        <w:rPr>
          <w:rFonts w:ascii="Times New Roman" w:hAnsi="Times New Roman"/>
        </w:rPr>
        <w:t xml:space="preserve">utually </w:t>
      </w:r>
      <w:r>
        <w:rPr>
          <w:rFonts w:ascii="Times New Roman" w:hAnsi="Times New Roman"/>
          <w:lang w:val="en-US"/>
        </w:rPr>
        <w:t xml:space="preserve">owned </w:t>
      </w:r>
      <w:r>
        <w:rPr>
          <w:rFonts w:ascii="Times New Roman" w:hAnsi="Times New Roman"/>
        </w:rPr>
        <w:t xml:space="preserve">financial institutions and credit unions </w:t>
      </w:r>
      <w:r>
        <w:rPr>
          <w:rFonts w:ascii="Times New Roman" w:hAnsi="Times New Roman"/>
          <w:lang w:val="en-US"/>
        </w:rPr>
        <w:t xml:space="preserve">also </w:t>
      </w:r>
      <w:r>
        <w:rPr>
          <w:rFonts w:ascii="Times New Roman" w:hAnsi="Times New Roman"/>
        </w:rPr>
        <w:t>hav</w:t>
      </w:r>
      <w:r>
        <w:rPr>
          <w:rFonts w:ascii="Times New Roman" w:hAnsi="Times New Roman"/>
          <w:lang w:val="en-US"/>
        </w:rPr>
        <w:t>e</w:t>
      </w:r>
      <w:r>
        <w:rPr>
          <w:rFonts w:ascii="Times New Roman" w:hAnsi="Times New Roman"/>
        </w:rPr>
        <w:t xml:space="preserve"> an important role as recognised in the Report of the Commission on Credit Unions</w:t>
      </w:r>
      <w:r>
        <w:rPr>
          <w:rFonts w:ascii="Times New Roman" w:hAnsi="Times New Roman"/>
          <w:lang w:val="en-US"/>
        </w:rPr>
        <w:t>.  They have suffered lower losses as a proportion of assets than conventional banks. In aggregate while return on assets has fallen from 3.5% in 2007 to 0.6% in 2011, most credit unions remain profitable, 79% reported a surplus in the period to September 2011 (Commission on Credit Unions, 2012, p. 31).</w:t>
      </w:r>
    </w:p>
    <w:p w:rsidR="00C446B6" w:rsidRDefault="00C446B6" w:rsidP="005F73EA">
      <w:pPr>
        <w:spacing w:line="240" w:lineRule="auto"/>
        <w:jc w:val="both"/>
        <w:rPr>
          <w:rFonts w:ascii="Times New Roman" w:hAnsi="Times New Roman"/>
          <w:lang w:val="en-US"/>
        </w:rPr>
      </w:pPr>
    </w:p>
    <w:p w:rsidR="00C446B6" w:rsidRDefault="005F73EA" w:rsidP="005F73EA">
      <w:pPr>
        <w:spacing w:line="240" w:lineRule="auto"/>
        <w:jc w:val="both"/>
        <w:rPr>
          <w:rFonts w:ascii="Times New Roman" w:hAnsi="Times New Roman"/>
          <w:lang w:val="en-US"/>
        </w:rPr>
      </w:pPr>
      <w:r>
        <w:rPr>
          <w:rFonts w:ascii="Times New Roman" w:hAnsi="Times New Roman"/>
          <w:lang w:val="en-US"/>
        </w:rPr>
        <w:t>Table (5</w:t>
      </w:r>
      <w:r w:rsidR="00C446B6">
        <w:rPr>
          <w:rFonts w:ascii="Times New Roman" w:hAnsi="Times New Roman"/>
          <w:lang w:val="en-US"/>
        </w:rPr>
        <w:t xml:space="preserve">) shows </w:t>
      </w:r>
      <w:r w:rsidR="0085684A">
        <w:rPr>
          <w:rFonts w:ascii="Times New Roman" w:hAnsi="Times New Roman"/>
          <w:lang w:val="en-US"/>
        </w:rPr>
        <w:t>credit union income and costs for the period 2006-2010</w:t>
      </w:r>
    </w:p>
    <w:p w:rsidR="00125E05" w:rsidRDefault="00125E05" w:rsidP="005F73EA">
      <w:pPr>
        <w:spacing w:line="240" w:lineRule="auto"/>
        <w:jc w:val="both"/>
        <w:rPr>
          <w:rFonts w:ascii="Times New Roman" w:hAnsi="Times New Roman"/>
          <w:lang w:val="en-US"/>
        </w:rPr>
      </w:pPr>
    </w:p>
    <w:p w:rsidR="0085684A" w:rsidRDefault="003500DD" w:rsidP="005F73EA">
      <w:pPr>
        <w:spacing w:line="240" w:lineRule="auto"/>
        <w:jc w:val="center"/>
        <w:rPr>
          <w:rFonts w:ascii="Times New Roman" w:hAnsi="Times New Roman"/>
          <w:lang w:val="en-US"/>
        </w:rPr>
      </w:pPr>
      <w:r>
        <w:rPr>
          <w:rFonts w:ascii="Times New Roman" w:hAnsi="Times New Roman"/>
          <w:lang w:val="en-US"/>
        </w:rPr>
        <w:t>Table (5</w:t>
      </w:r>
      <w:r w:rsidR="0085684A">
        <w:rPr>
          <w:rFonts w:ascii="Times New Roman" w:hAnsi="Times New Roman"/>
          <w:lang w:val="en-US"/>
        </w:rPr>
        <w:t>)</w:t>
      </w:r>
    </w:p>
    <w:p w:rsidR="0085684A" w:rsidRDefault="0085684A" w:rsidP="005F73EA">
      <w:pPr>
        <w:spacing w:line="240" w:lineRule="auto"/>
        <w:jc w:val="center"/>
        <w:rPr>
          <w:rFonts w:ascii="Times New Roman" w:hAnsi="Times New Roman"/>
          <w:lang w:val="en-US"/>
        </w:rPr>
      </w:pPr>
      <w:r>
        <w:rPr>
          <w:rFonts w:ascii="Times New Roman" w:hAnsi="Times New Roman"/>
          <w:lang w:val="en-US"/>
        </w:rPr>
        <w:t>Credit Union Income and Costs 2006-2010</w:t>
      </w:r>
    </w:p>
    <w:tbl>
      <w:tblPr>
        <w:tblStyle w:val="TableGrid"/>
        <w:tblW w:w="0" w:type="auto"/>
        <w:tblInd w:w="669" w:type="dxa"/>
        <w:tblLook w:val="04A0" w:firstRow="1" w:lastRow="0" w:firstColumn="1" w:lastColumn="0" w:noHBand="0" w:noVBand="1"/>
      </w:tblPr>
      <w:tblGrid>
        <w:gridCol w:w="1242"/>
        <w:gridCol w:w="1134"/>
        <w:gridCol w:w="993"/>
        <w:gridCol w:w="1134"/>
        <w:gridCol w:w="992"/>
        <w:gridCol w:w="1134"/>
      </w:tblGrid>
      <w:tr w:rsidR="0085684A" w:rsidTr="003500DD">
        <w:tc>
          <w:tcPr>
            <w:tcW w:w="1242" w:type="dxa"/>
          </w:tcPr>
          <w:p w:rsidR="0085684A" w:rsidRDefault="0085684A" w:rsidP="005F73EA">
            <w:pPr>
              <w:jc w:val="both"/>
              <w:rPr>
                <w:rFonts w:ascii="Times New Roman" w:hAnsi="Times New Roman"/>
                <w:lang w:val="en-US"/>
              </w:rPr>
            </w:pPr>
          </w:p>
        </w:tc>
        <w:tc>
          <w:tcPr>
            <w:tcW w:w="1134" w:type="dxa"/>
          </w:tcPr>
          <w:p w:rsidR="0085684A" w:rsidRDefault="0085684A" w:rsidP="005F73EA">
            <w:pPr>
              <w:jc w:val="both"/>
              <w:rPr>
                <w:rFonts w:ascii="Times New Roman" w:hAnsi="Times New Roman"/>
                <w:lang w:val="en-US"/>
              </w:rPr>
            </w:pPr>
            <w:r>
              <w:rPr>
                <w:rFonts w:ascii="Times New Roman" w:hAnsi="Times New Roman"/>
                <w:lang w:val="en-US"/>
              </w:rPr>
              <w:t>2006</w:t>
            </w:r>
          </w:p>
        </w:tc>
        <w:tc>
          <w:tcPr>
            <w:tcW w:w="993" w:type="dxa"/>
          </w:tcPr>
          <w:p w:rsidR="0085684A" w:rsidRDefault="0085684A" w:rsidP="005F73EA">
            <w:pPr>
              <w:jc w:val="both"/>
              <w:rPr>
                <w:rFonts w:ascii="Times New Roman" w:hAnsi="Times New Roman"/>
                <w:lang w:val="en-US"/>
              </w:rPr>
            </w:pPr>
            <w:r>
              <w:rPr>
                <w:rFonts w:ascii="Times New Roman" w:hAnsi="Times New Roman"/>
                <w:lang w:val="en-US"/>
              </w:rPr>
              <w:t>2007</w:t>
            </w:r>
          </w:p>
        </w:tc>
        <w:tc>
          <w:tcPr>
            <w:tcW w:w="1134" w:type="dxa"/>
          </w:tcPr>
          <w:p w:rsidR="0085684A" w:rsidRDefault="0085684A" w:rsidP="005F73EA">
            <w:pPr>
              <w:jc w:val="both"/>
              <w:rPr>
                <w:rFonts w:ascii="Times New Roman" w:hAnsi="Times New Roman"/>
                <w:lang w:val="en-US"/>
              </w:rPr>
            </w:pPr>
            <w:r>
              <w:rPr>
                <w:rFonts w:ascii="Times New Roman" w:hAnsi="Times New Roman"/>
                <w:lang w:val="en-US"/>
              </w:rPr>
              <w:t>2008</w:t>
            </w:r>
          </w:p>
        </w:tc>
        <w:tc>
          <w:tcPr>
            <w:tcW w:w="992" w:type="dxa"/>
          </w:tcPr>
          <w:p w:rsidR="0085684A" w:rsidRDefault="0085684A" w:rsidP="005F73EA">
            <w:pPr>
              <w:jc w:val="both"/>
              <w:rPr>
                <w:rFonts w:ascii="Times New Roman" w:hAnsi="Times New Roman"/>
                <w:lang w:val="en-US"/>
              </w:rPr>
            </w:pPr>
            <w:r>
              <w:rPr>
                <w:rFonts w:ascii="Times New Roman" w:hAnsi="Times New Roman"/>
                <w:lang w:val="en-US"/>
              </w:rPr>
              <w:t>2009</w:t>
            </w:r>
          </w:p>
        </w:tc>
        <w:tc>
          <w:tcPr>
            <w:tcW w:w="1134" w:type="dxa"/>
          </w:tcPr>
          <w:p w:rsidR="0085684A" w:rsidRDefault="0085684A" w:rsidP="005F73EA">
            <w:pPr>
              <w:jc w:val="both"/>
              <w:rPr>
                <w:rFonts w:ascii="Times New Roman" w:hAnsi="Times New Roman"/>
                <w:lang w:val="en-US"/>
              </w:rPr>
            </w:pPr>
            <w:r>
              <w:rPr>
                <w:rFonts w:ascii="Times New Roman" w:hAnsi="Times New Roman"/>
                <w:lang w:val="en-US"/>
              </w:rPr>
              <w:t>2010</w:t>
            </w:r>
          </w:p>
        </w:tc>
      </w:tr>
      <w:tr w:rsidR="0085684A" w:rsidTr="003500DD">
        <w:tc>
          <w:tcPr>
            <w:tcW w:w="1242" w:type="dxa"/>
          </w:tcPr>
          <w:p w:rsidR="0085684A" w:rsidRDefault="0085684A" w:rsidP="005F73EA">
            <w:pPr>
              <w:jc w:val="both"/>
              <w:rPr>
                <w:rFonts w:ascii="Times New Roman" w:hAnsi="Times New Roman"/>
                <w:lang w:val="en-US"/>
              </w:rPr>
            </w:pPr>
            <w:r>
              <w:rPr>
                <w:rFonts w:ascii="Times New Roman" w:hAnsi="Times New Roman"/>
                <w:lang w:val="en-US"/>
              </w:rPr>
              <w:t>Income</w:t>
            </w:r>
          </w:p>
        </w:tc>
        <w:tc>
          <w:tcPr>
            <w:tcW w:w="1134" w:type="dxa"/>
          </w:tcPr>
          <w:p w:rsidR="0085684A" w:rsidRDefault="0085684A" w:rsidP="005F73EA">
            <w:pPr>
              <w:jc w:val="both"/>
              <w:rPr>
                <w:rFonts w:ascii="Times New Roman" w:hAnsi="Times New Roman"/>
                <w:lang w:val="en-US"/>
              </w:rPr>
            </w:pPr>
            <w:r>
              <w:rPr>
                <w:rFonts w:ascii="Times New Roman" w:hAnsi="Times New Roman"/>
                <w:lang w:val="en-US"/>
              </w:rPr>
              <w:t>788.23</w:t>
            </w:r>
          </w:p>
        </w:tc>
        <w:tc>
          <w:tcPr>
            <w:tcW w:w="993" w:type="dxa"/>
          </w:tcPr>
          <w:p w:rsidR="0085684A" w:rsidRDefault="0085684A" w:rsidP="005F73EA">
            <w:pPr>
              <w:jc w:val="both"/>
              <w:rPr>
                <w:rFonts w:ascii="Times New Roman" w:hAnsi="Times New Roman"/>
                <w:lang w:val="en-US"/>
              </w:rPr>
            </w:pPr>
            <w:r>
              <w:rPr>
                <w:rFonts w:ascii="Times New Roman" w:hAnsi="Times New Roman"/>
                <w:lang w:val="en-US"/>
              </w:rPr>
              <w:t>860.4</w:t>
            </w:r>
          </w:p>
        </w:tc>
        <w:tc>
          <w:tcPr>
            <w:tcW w:w="1134" w:type="dxa"/>
          </w:tcPr>
          <w:p w:rsidR="0085684A" w:rsidRDefault="0085684A" w:rsidP="005F73EA">
            <w:pPr>
              <w:jc w:val="both"/>
              <w:rPr>
                <w:rFonts w:ascii="Times New Roman" w:hAnsi="Times New Roman"/>
                <w:lang w:val="en-US"/>
              </w:rPr>
            </w:pPr>
            <w:r>
              <w:rPr>
                <w:rFonts w:ascii="Times New Roman" w:hAnsi="Times New Roman"/>
                <w:lang w:val="en-US"/>
              </w:rPr>
              <w:t>809.96</w:t>
            </w:r>
          </w:p>
        </w:tc>
        <w:tc>
          <w:tcPr>
            <w:tcW w:w="992" w:type="dxa"/>
          </w:tcPr>
          <w:p w:rsidR="0085684A" w:rsidRDefault="0085684A" w:rsidP="005F73EA">
            <w:pPr>
              <w:jc w:val="both"/>
              <w:rPr>
                <w:rFonts w:ascii="Times New Roman" w:hAnsi="Times New Roman"/>
                <w:lang w:val="en-US"/>
              </w:rPr>
            </w:pPr>
            <w:r>
              <w:rPr>
                <w:rFonts w:ascii="Times New Roman" w:hAnsi="Times New Roman"/>
                <w:lang w:val="en-US"/>
              </w:rPr>
              <w:t>847.75</w:t>
            </w:r>
          </w:p>
        </w:tc>
        <w:tc>
          <w:tcPr>
            <w:tcW w:w="1134" w:type="dxa"/>
          </w:tcPr>
          <w:p w:rsidR="0085684A" w:rsidRDefault="0085684A" w:rsidP="005F73EA">
            <w:pPr>
              <w:jc w:val="both"/>
              <w:rPr>
                <w:rFonts w:ascii="Times New Roman" w:hAnsi="Times New Roman"/>
                <w:lang w:val="en-US"/>
              </w:rPr>
            </w:pPr>
            <w:r>
              <w:rPr>
                <w:rFonts w:ascii="Times New Roman" w:hAnsi="Times New Roman"/>
                <w:lang w:val="en-US"/>
              </w:rPr>
              <w:t>772.42</w:t>
            </w:r>
          </w:p>
        </w:tc>
      </w:tr>
      <w:tr w:rsidR="0085684A" w:rsidTr="003500DD">
        <w:tc>
          <w:tcPr>
            <w:tcW w:w="1242" w:type="dxa"/>
          </w:tcPr>
          <w:p w:rsidR="0085684A" w:rsidRDefault="0085684A" w:rsidP="005F73EA">
            <w:pPr>
              <w:jc w:val="both"/>
              <w:rPr>
                <w:rFonts w:ascii="Times New Roman" w:hAnsi="Times New Roman"/>
                <w:lang w:val="en-US"/>
              </w:rPr>
            </w:pPr>
            <w:r>
              <w:rPr>
                <w:rFonts w:ascii="Times New Roman" w:hAnsi="Times New Roman"/>
                <w:lang w:val="en-US"/>
              </w:rPr>
              <w:t>Costs</w:t>
            </w:r>
          </w:p>
        </w:tc>
        <w:tc>
          <w:tcPr>
            <w:tcW w:w="1134" w:type="dxa"/>
          </w:tcPr>
          <w:p w:rsidR="0085684A" w:rsidRDefault="0085684A" w:rsidP="005F73EA">
            <w:pPr>
              <w:jc w:val="both"/>
              <w:rPr>
                <w:rFonts w:ascii="Times New Roman" w:hAnsi="Times New Roman"/>
                <w:lang w:val="en-US"/>
              </w:rPr>
            </w:pPr>
            <w:r>
              <w:rPr>
                <w:rFonts w:ascii="Times New Roman" w:hAnsi="Times New Roman"/>
                <w:lang w:val="en-US"/>
              </w:rPr>
              <w:t>321.51</w:t>
            </w:r>
          </w:p>
        </w:tc>
        <w:tc>
          <w:tcPr>
            <w:tcW w:w="993" w:type="dxa"/>
          </w:tcPr>
          <w:p w:rsidR="0085684A" w:rsidRDefault="0085684A" w:rsidP="005F73EA">
            <w:pPr>
              <w:jc w:val="both"/>
              <w:rPr>
                <w:rFonts w:ascii="Times New Roman" w:hAnsi="Times New Roman"/>
                <w:lang w:val="en-US"/>
              </w:rPr>
            </w:pPr>
            <w:r>
              <w:rPr>
                <w:rFonts w:ascii="Times New Roman" w:hAnsi="Times New Roman"/>
                <w:lang w:val="en-US"/>
              </w:rPr>
              <w:t>358.62</w:t>
            </w:r>
          </w:p>
        </w:tc>
        <w:tc>
          <w:tcPr>
            <w:tcW w:w="1134" w:type="dxa"/>
          </w:tcPr>
          <w:p w:rsidR="0085684A" w:rsidRDefault="0085684A" w:rsidP="005F73EA">
            <w:pPr>
              <w:jc w:val="both"/>
              <w:rPr>
                <w:rFonts w:ascii="Times New Roman" w:hAnsi="Times New Roman"/>
                <w:lang w:val="en-US"/>
              </w:rPr>
            </w:pPr>
            <w:r>
              <w:rPr>
                <w:rFonts w:ascii="Times New Roman" w:hAnsi="Times New Roman"/>
                <w:lang w:val="en-US"/>
              </w:rPr>
              <w:t>448.61</w:t>
            </w:r>
          </w:p>
        </w:tc>
        <w:tc>
          <w:tcPr>
            <w:tcW w:w="992" w:type="dxa"/>
          </w:tcPr>
          <w:p w:rsidR="0085684A" w:rsidRDefault="0085684A" w:rsidP="005F73EA">
            <w:pPr>
              <w:jc w:val="both"/>
              <w:rPr>
                <w:rFonts w:ascii="Times New Roman" w:hAnsi="Times New Roman"/>
                <w:lang w:val="en-US"/>
              </w:rPr>
            </w:pPr>
            <w:r>
              <w:rPr>
                <w:rFonts w:ascii="Times New Roman" w:hAnsi="Times New Roman"/>
                <w:lang w:val="en-US"/>
              </w:rPr>
              <w:t>571.33</w:t>
            </w:r>
          </w:p>
        </w:tc>
        <w:tc>
          <w:tcPr>
            <w:tcW w:w="1134" w:type="dxa"/>
          </w:tcPr>
          <w:p w:rsidR="0085684A" w:rsidRDefault="0085684A" w:rsidP="005F73EA">
            <w:pPr>
              <w:jc w:val="both"/>
              <w:rPr>
                <w:rFonts w:ascii="Times New Roman" w:hAnsi="Times New Roman"/>
                <w:lang w:val="en-US"/>
              </w:rPr>
            </w:pPr>
            <w:r>
              <w:rPr>
                <w:rFonts w:ascii="Times New Roman" w:hAnsi="Times New Roman"/>
                <w:lang w:val="en-US"/>
              </w:rPr>
              <w:t>626.77</w:t>
            </w:r>
          </w:p>
        </w:tc>
      </w:tr>
      <w:tr w:rsidR="0085684A" w:rsidTr="003500DD">
        <w:tc>
          <w:tcPr>
            <w:tcW w:w="1242" w:type="dxa"/>
          </w:tcPr>
          <w:p w:rsidR="0085684A" w:rsidRDefault="0085684A" w:rsidP="005F73EA">
            <w:pPr>
              <w:jc w:val="both"/>
              <w:rPr>
                <w:rFonts w:ascii="Times New Roman" w:hAnsi="Times New Roman"/>
                <w:lang w:val="en-US"/>
              </w:rPr>
            </w:pPr>
            <w:r>
              <w:rPr>
                <w:rFonts w:ascii="Times New Roman" w:hAnsi="Times New Roman"/>
                <w:lang w:val="en-US"/>
              </w:rPr>
              <w:t>Surplus</w:t>
            </w:r>
          </w:p>
        </w:tc>
        <w:tc>
          <w:tcPr>
            <w:tcW w:w="1134" w:type="dxa"/>
          </w:tcPr>
          <w:p w:rsidR="0085684A" w:rsidRDefault="0085684A" w:rsidP="005F73EA">
            <w:pPr>
              <w:jc w:val="both"/>
              <w:rPr>
                <w:rFonts w:ascii="Times New Roman" w:hAnsi="Times New Roman"/>
                <w:lang w:val="en-US"/>
              </w:rPr>
            </w:pPr>
            <w:r>
              <w:rPr>
                <w:rFonts w:ascii="Times New Roman" w:hAnsi="Times New Roman"/>
                <w:lang w:val="en-US"/>
              </w:rPr>
              <w:t>466.72</w:t>
            </w:r>
          </w:p>
        </w:tc>
        <w:tc>
          <w:tcPr>
            <w:tcW w:w="993" w:type="dxa"/>
          </w:tcPr>
          <w:p w:rsidR="0085684A" w:rsidRDefault="0085684A" w:rsidP="005F73EA">
            <w:pPr>
              <w:jc w:val="both"/>
              <w:rPr>
                <w:rFonts w:ascii="Times New Roman" w:hAnsi="Times New Roman"/>
                <w:lang w:val="en-US"/>
              </w:rPr>
            </w:pPr>
            <w:r>
              <w:rPr>
                <w:rFonts w:ascii="Times New Roman" w:hAnsi="Times New Roman"/>
                <w:lang w:val="en-US"/>
              </w:rPr>
              <w:t>501.78</w:t>
            </w:r>
          </w:p>
        </w:tc>
        <w:tc>
          <w:tcPr>
            <w:tcW w:w="1134" w:type="dxa"/>
          </w:tcPr>
          <w:p w:rsidR="0085684A" w:rsidRDefault="0085684A" w:rsidP="005F73EA">
            <w:pPr>
              <w:jc w:val="both"/>
              <w:rPr>
                <w:rFonts w:ascii="Times New Roman" w:hAnsi="Times New Roman"/>
                <w:lang w:val="en-US"/>
              </w:rPr>
            </w:pPr>
            <w:r>
              <w:rPr>
                <w:rFonts w:ascii="Times New Roman" w:hAnsi="Times New Roman"/>
                <w:lang w:val="en-US"/>
              </w:rPr>
              <w:t>361.35</w:t>
            </w:r>
          </w:p>
        </w:tc>
        <w:tc>
          <w:tcPr>
            <w:tcW w:w="992" w:type="dxa"/>
          </w:tcPr>
          <w:p w:rsidR="0085684A" w:rsidRDefault="0085684A" w:rsidP="005F73EA">
            <w:pPr>
              <w:jc w:val="both"/>
              <w:rPr>
                <w:rFonts w:ascii="Times New Roman" w:hAnsi="Times New Roman"/>
                <w:lang w:val="en-US"/>
              </w:rPr>
            </w:pPr>
            <w:r>
              <w:rPr>
                <w:rFonts w:ascii="Times New Roman" w:hAnsi="Times New Roman"/>
                <w:lang w:val="en-US"/>
              </w:rPr>
              <w:t>276.42</w:t>
            </w:r>
          </w:p>
        </w:tc>
        <w:tc>
          <w:tcPr>
            <w:tcW w:w="1134" w:type="dxa"/>
          </w:tcPr>
          <w:p w:rsidR="0085684A" w:rsidRDefault="0085684A" w:rsidP="005F73EA">
            <w:pPr>
              <w:jc w:val="both"/>
              <w:rPr>
                <w:rFonts w:ascii="Times New Roman" w:hAnsi="Times New Roman"/>
                <w:lang w:val="en-US"/>
              </w:rPr>
            </w:pPr>
            <w:r>
              <w:rPr>
                <w:rFonts w:ascii="Times New Roman" w:hAnsi="Times New Roman"/>
                <w:lang w:val="en-US"/>
              </w:rPr>
              <w:t>145.65</w:t>
            </w:r>
          </w:p>
        </w:tc>
      </w:tr>
    </w:tbl>
    <w:p w:rsidR="0092326A" w:rsidRDefault="00B63EF5" w:rsidP="005F73EA">
      <w:pPr>
        <w:spacing w:line="240" w:lineRule="auto"/>
        <w:jc w:val="both"/>
        <w:rPr>
          <w:rFonts w:ascii="Times New Roman" w:hAnsi="Times New Roman"/>
          <w:lang w:val="en-US"/>
        </w:rPr>
      </w:pPr>
      <w:r>
        <w:rPr>
          <w:rFonts w:ascii="Times New Roman" w:hAnsi="Times New Roman"/>
          <w:lang w:val="en-US"/>
        </w:rPr>
        <w:t xml:space="preserve"> </w:t>
      </w:r>
    </w:p>
    <w:p w:rsidR="0085684A" w:rsidRPr="00820780" w:rsidRDefault="00B63EF5" w:rsidP="005F73EA">
      <w:pPr>
        <w:spacing w:line="240" w:lineRule="auto"/>
        <w:jc w:val="both"/>
        <w:rPr>
          <w:rFonts w:ascii="Times New Roman" w:hAnsi="Times New Roman"/>
          <w:sz w:val="18"/>
          <w:lang w:val="en-US"/>
        </w:rPr>
      </w:pPr>
      <w:r w:rsidRPr="00820780">
        <w:rPr>
          <w:rFonts w:ascii="Times New Roman" w:hAnsi="Times New Roman"/>
          <w:sz w:val="18"/>
          <w:lang w:val="en-US"/>
        </w:rPr>
        <w:t>Source</w:t>
      </w:r>
      <w:r w:rsidR="0085684A" w:rsidRPr="00820780">
        <w:rPr>
          <w:rFonts w:ascii="Times New Roman" w:hAnsi="Times New Roman"/>
          <w:sz w:val="18"/>
          <w:lang w:val="en-US"/>
        </w:rPr>
        <w:t>: Commission on Credit Unions, 2012</w:t>
      </w:r>
    </w:p>
    <w:p w:rsidR="002F34F8" w:rsidRPr="00DD5731" w:rsidRDefault="008B65F5" w:rsidP="005F73EA">
      <w:pPr>
        <w:spacing w:line="240" w:lineRule="auto"/>
        <w:rPr>
          <w:rFonts w:ascii="Times New Roman" w:hAnsi="Times New Roman"/>
        </w:rPr>
      </w:pPr>
      <w:r w:rsidRPr="00DD5731">
        <w:rPr>
          <w:rFonts w:ascii="Times New Roman" w:hAnsi="Times New Roman"/>
        </w:rPr>
        <w:lastRenderedPageBreak/>
        <w:t>There are a number of reasons for the relative superior performance of credit unions in Ireland compared with conventional banking.</w:t>
      </w:r>
    </w:p>
    <w:p w:rsidR="00424919" w:rsidRPr="00DD5731" w:rsidRDefault="00424919" w:rsidP="005F73EA">
      <w:pPr>
        <w:spacing w:line="240" w:lineRule="auto"/>
        <w:rPr>
          <w:rFonts w:ascii="Times New Roman" w:hAnsi="Times New Roman"/>
        </w:rPr>
      </w:pPr>
      <w:r w:rsidRPr="00DD5731">
        <w:rPr>
          <w:rFonts w:ascii="Times New Roman" w:hAnsi="Times New Roman"/>
        </w:rPr>
        <w:t>Alternative ba</w:t>
      </w:r>
      <w:r w:rsidR="008E6CFB">
        <w:rPr>
          <w:rFonts w:ascii="Times New Roman" w:hAnsi="Times New Roman"/>
        </w:rPr>
        <w:t>n</w:t>
      </w:r>
      <w:r w:rsidRPr="00DD5731">
        <w:rPr>
          <w:rFonts w:ascii="Times New Roman" w:hAnsi="Times New Roman"/>
        </w:rPr>
        <w:t>king models such as m</w:t>
      </w:r>
      <w:r w:rsidR="008E6CFB">
        <w:rPr>
          <w:rFonts w:ascii="Times New Roman" w:hAnsi="Times New Roman"/>
        </w:rPr>
        <w:t>utuals,</w:t>
      </w:r>
      <w:r w:rsidR="00265A51" w:rsidRPr="00DD5731">
        <w:rPr>
          <w:rFonts w:ascii="Times New Roman" w:hAnsi="Times New Roman"/>
        </w:rPr>
        <w:t xml:space="preserve"> credit unions</w:t>
      </w:r>
      <w:r w:rsidR="008E6CFB">
        <w:rPr>
          <w:rFonts w:ascii="Times New Roman" w:hAnsi="Times New Roman"/>
        </w:rPr>
        <w:t xml:space="preserve">, </w:t>
      </w:r>
      <w:r w:rsidR="00265A51" w:rsidRPr="00DD5731">
        <w:rPr>
          <w:rFonts w:ascii="Times New Roman" w:hAnsi="Times New Roman"/>
        </w:rPr>
        <w:t>suffer</w:t>
      </w:r>
      <w:r w:rsidRPr="00DD5731">
        <w:rPr>
          <w:rFonts w:ascii="Times New Roman" w:hAnsi="Times New Roman"/>
        </w:rPr>
        <w:t xml:space="preserve"> from fewer agency type problems for example conflicts of interest between depositors and borrowers and shareholders. Profits accrue to members.</w:t>
      </w:r>
    </w:p>
    <w:p w:rsidR="00424919" w:rsidRPr="00DD5731" w:rsidRDefault="00424919" w:rsidP="005F73EA">
      <w:pPr>
        <w:spacing w:line="240" w:lineRule="auto"/>
        <w:rPr>
          <w:rFonts w:ascii="Times New Roman" w:hAnsi="Times New Roman"/>
        </w:rPr>
      </w:pPr>
      <w:r w:rsidRPr="00DD5731">
        <w:rPr>
          <w:rFonts w:ascii="Times New Roman" w:hAnsi="Times New Roman"/>
        </w:rPr>
        <w:t>Remuneration cannot be by stock options reducing the incentive to excessive risk taking</w:t>
      </w:r>
    </w:p>
    <w:p w:rsidR="00265A51" w:rsidRPr="00DD5731" w:rsidRDefault="00265A51" w:rsidP="005F73EA">
      <w:pPr>
        <w:spacing w:line="240" w:lineRule="auto"/>
        <w:rPr>
          <w:rFonts w:ascii="Times New Roman" w:hAnsi="Times New Roman"/>
        </w:rPr>
      </w:pPr>
      <w:r w:rsidRPr="00DD5731">
        <w:rPr>
          <w:rFonts w:ascii="Times New Roman" w:hAnsi="Times New Roman"/>
        </w:rPr>
        <w:t>A</w:t>
      </w:r>
      <w:r w:rsidR="00424919" w:rsidRPr="00DD5731">
        <w:rPr>
          <w:rFonts w:ascii="Times New Roman" w:hAnsi="Times New Roman"/>
        </w:rPr>
        <w:t xml:space="preserve"> stock market quotation can </w:t>
      </w:r>
      <w:r w:rsidR="00DD5731">
        <w:rPr>
          <w:rFonts w:ascii="Times New Roman" w:hAnsi="Times New Roman"/>
        </w:rPr>
        <w:t>result in</w:t>
      </w:r>
      <w:r w:rsidR="00424919" w:rsidRPr="00DD5731">
        <w:rPr>
          <w:rFonts w:ascii="Times New Roman" w:hAnsi="Times New Roman"/>
        </w:rPr>
        <w:t xml:space="preserve"> excessive emphasis on short run</w:t>
      </w:r>
      <w:r w:rsidR="00DD5731">
        <w:rPr>
          <w:rFonts w:ascii="Times New Roman" w:hAnsi="Times New Roman"/>
        </w:rPr>
        <w:t xml:space="preserve"> performance versus long run performance</w:t>
      </w:r>
    </w:p>
    <w:p w:rsidR="00265A51" w:rsidRDefault="00265A51" w:rsidP="005F73EA">
      <w:pPr>
        <w:spacing w:line="240" w:lineRule="auto"/>
        <w:rPr>
          <w:rFonts w:ascii="Times New Roman" w:hAnsi="Times New Roman"/>
        </w:rPr>
      </w:pPr>
      <w:r w:rsidRPr="00DD5731">
        <w:rPr>
          <w:rFonts w:ascii="Times New Roman" w:hAnsi="Times New Roman"/>
        </w:rPr>
        <w:t xml:space="preserve">Locally based organisations can  suffer less from </w:t>
      </w:r>
      <w:r w:rsidR="00DD5731">
        <w:rPr>
          <w:rFonts w:ascii="Times New Roman" w:hAnsi="Times New Roman"/>
        </w:rPr>
        <w:t xml:space="preserve">reduced </w:t>
      </w:r>
      <w:r w:rsidRPr="00DD5731">
        <w:rPr>
          <w:rFonts w:ascii="Times New Roman" w:hAnsi="Times New Roman"/>
        </w:rPr>
        <w:t>information asymmetries</w:t>
      </w:r>
    </w:p>
    <w:p w:rsidR="00DD5731" w:rsidRPr="00A13B3E" w:rsidRDefault="00DD5731" w:rsidP="005F73EA">
      <w:pPr>
        <w:spacing w:line="240" w:lineRule="auto"/>
        <w:rPr>
          <w:rFonts w:ascii="Times New Roman" w:hAnsi="Times New Roman"/>
          <w:lang w:val="en-US"/>
        </w:rPr>
      </w:pPr>
      <w:r>
        <w:rPr>
          <w:rFonts w:ascii="Times New Roman" w:hAnsi="Times New Roman"/>
        </w:rPr>
        <w:t xml:space="preserve">The economic performance of </w:t>
      </w:r>
      <w:r w:rsidR="00A13B3E">
        <w:rPr>
          <w:rFonts w:ascii="Times New Roman" w:hAnsi="Times New Roman"/>
          <w:lang w:val="en-US"/>
        </w:rPr>
        <w:t xml:space="preserve">a locally based lending </w:t>
      </w:r>
      <w:r>
        <w:rPr>
          <w:rFonts w:ascii="Times New Roman" w:hAnsi="Times New Roman"/>
        </w:rPr>
        <w:t>institution will</w:t>
      </w:r>
      <w:r w:rsidR="00A13B3E">
        <w:rPr>
          <w:rFonts w:ascii="Times New Roman" w:hAnsi="Times New Roman"/>
          <w:lang w:val="en-US"/>
        </w:rPr>
        <w:t xml:space="preserve"> be more aligned with the</w:t>
      </w:r>
      <w:r w:rsidR="00A13B3E">
        <w:rPr>
          <w:rFonts w:ascii="Times New Roman" w:hAnsi="Times New Roman"/>
        </w:rPr>
        <w:t xml:space="preserve"> </w:t>
      </w:r>
      <w:r w:rsidR="00A13B3E">
        <w:rPr>
          <w:rFonts w:ascii="Times New Roman" w:hAnsi="Times New Roman"/>
          <w:lang w:val="en-US"/>
        </w:rPr>
        <w:t>local economy with consequent positive incentive effects.</w:t>
      </w:r>
    </w:p>
    <w:p w:rsidR="00265A51" w:rsidRPr="00DD5731" w:rsidRDefault="00265A51" w:rsidP="005F73EA">
      <w:pPr>
        <w:spacing w:line="240" w:lineRule="auto"/>
        <w:rPr>
          <w:rFonts w:ascii="Times New Roman" w:hAnsi="Times New Roman"/>
        </w:rPr>
      </w:pPr>
      <w:r w:rsidRPr="00DD5731">
        <w:rPr>
          <w:rFonts w:ascii="Times New Roman" w:hAnsi="Times New Roman"/>
        </w:rPr>
        <w:t>There may also be benefits from credit unions in terms of reducing  financial exclusion ( more appropriate opening hours,  less formality, etc.</w:t>
      </w:r>
    </w:p>
    <w:p w:rsidR="002B3773" w:rsidRPr="00C90D9D" w:rsidRDefault="00CB06AA" w:rsidP="005F73EA">
      <w:pPr>
        <w:spacing w:line="240" w:lineRule="auto"/>
        <w:rPr>
          <w:rFonts w:ascii="Times New Roman" w:hAnsi="Times New Roman"/>
        </w:rPr>
      </w:pPr>
      <w:r w:rsidRPr="00C90D9D">
        <w:rPr>
          <w:rFonts w:ascii="Times New Roman" w:hAnsi="Times New Roman"/>
        </w:rPr>
        <w:t xml:space="preserve">However not-for-profits, such as mutuals also suffer problems.  </w:t>
      </w:r>
    </w:p>
    <w:p w:rsidR="002B3773" w:rsidRPr="00C90D9D" w:rsidRDefault="00CB06AA" w:rsidP="005F73EA">
      <w:pPr>
        <w:spacing w:line="240" w:lineRule="auto"/>
        <w:rPr>
          <w:rFonts w:ascii="Times New Roman" w:hAnsi="Times New Roman"/>
        </w:rPr>
      </w:pPr>
      <w:r w:rsidRPr="00C90D9D">
        <w:rPr>
          <w:rFonts w:ascii="Times New Roman" w:hAnsi="Times New Roman"/>
        </w:rPr>
        <w:t xml:space="preserve">There are governance issues, one share one deposit means there is relatively low participation by shareholders/depositors. </w:t>
      </w:r>
    </w:p>
    <w:p w:rsidR="002B3773" w:rsidRDefault="00CB06AA" w:rsidP="005F73EA">
      <w:pPr>
        <w:spacing w:line="240" w:lineRule="auto"/>
        <w:rPr>
          <w:rFonts w:ascii="Times New Roman" w:hAnsi="Times New Roman"/>
        </w:rPr>
      </w:pPr>
      <w:r w:rsidRPr="00C90D9D">
        <w:rPr>
          <w:rFonts w:ascii="Times New Roman" w:hAnsi="Times New Roman"/>
        </w:rPr>
        <w:t xml:space="preserve">An incumbent management can stay entrenched without any accountability. </w:t>
      </w:r>
    </w:p>
    <w:p w:rsidR="008E6CFB" w:rsidRDefault="008E6CFB" w:rsidP="005F73EA">
      <w:pPr>
        <w:spacing w:line="240" w:lineRule="auto"/>
        <w:rPr>
          <w:rFonts w:ascii="Times New Roman" w:hAnsi="Times New Roman"/>
        </w:rPr>
      </w:pPr>
      <w:r>
        <w:rPr>
          <w:rFonts w:ascii="Times New Roman" w:hAnsi="Times New Roman"/>
        </w:rPr>
        <w:t xml:space="preserve">Finally micro-finance also has an important role to play in some sectors. </w:t>
      </w:r>
    </w:p>
    <w:p w:rsidR="003500DD" w:rsidRDefault="003500DD" w:rsidP="005F73EA">
      <w:pPr>
        <w:spacing w:line="240" w:lineRule="auto"/>
        <w:rPr>
          <w:rFonts w:ascii="Times New Roman" w:hAnsi="Times New Roman"/>
        </w:rPr>
      </w:pPr>
    </w:p>
    <w:p w:rsidR="003500DD" w:rsidRPr="003500DD" w:rsidRDefault="00125E05" w:rsidP="005F73EA">
      <w:pPr>
        <w:spacing w:line="240" w:lineRule="auto"/>
        <w:rPr>
          <w:rFonts w:ascii="Times New Roman" w:hAnsi="Times New Roman"/>
          <w:b/>
        </w:rPr>
      </w:pPr>
      <w:r>
        <w:rPr>
          <w:rFonts w:ascii="Times New Roman" w:hAnsi="Times New Roman"/>
          <w:b/>
        </w:rPr>
        <w:t>5</w:t>
      </w:r>
      <w:r w:rsidR="003500DD" w:rsidRPr="003500DD">
        <w:rPr>
          <w:rFonts w:ascii="Times New Roman" w:hAnsi="Times New Roman"/>
          <w:b/>
        </w:rPr>
        <w:t>. Conclusion</w:t>
      </w:r>
    </w:p>
    <w:p w:rsidR="003500DD" w:rsidRPr="00C90D9D" w:rsidRDefault="003500DD" w:rsidP="005F73EA">
      <w:pPr>
        <w:spacing w:line="240" w:lineRule="auto"/>
        <w:rPr>
          <w:rFonts w:ascii="Times New Roman" w:hAnsi="Times New Roman"/>
        </w:rPr>
      </w:pPr>
      <w:r>
        <w:rPr>
          <w:rFonts w:ascii="Times New Roman" w:hAnsi="Times New Roman"/>
        </w:rPr>
        <w:t xml:space="preserve">The financial and economic crisis has underlined the need for alternative sources of credit, in particular for SME’s .  </w:t>
      </w:r>
    </w:p>
    <w:p w:rsidR="00265A51" w:rsidRDefault="00265A51" w:rsidP="005F73EA">
      <w:pPr>
        <w:spacing w:line="240" w:lineRule="auto"/>
        <w:rPr>
          <w:rFonts w:ascii="Times New Roman" w:hAnsi="Times New Roman"/>
          <w:sz w:val="18"/>
        </w:rPr>
      </w:pPr>
    </w:p>
    <w:p w:rsidR="00820780" w:rsidRDefault="00820780" w:rsidP="005F73EA">
      <w:pPr>
        <w:spacing w:line="240" w:lineRule="auto"/>
        <w:rPr>
          <w:rFonts w:ascii="Times New Roman" w:hAnsi="Times New Roman"/>
          <w:sz w:val="18"/>
        </w:rPr>
      </w:pPr>
    </w:p>
    <w:p w:rsidR="00685027" w:rsidRPr="005F73EA" w:rsidRDefault="0078048C" w:rsidP="005F73EA">
      <w:pPr>
        <w:spacing w:line="240" w:lineRule="auto"/>
        <w:rPr>
          <w:rFonts w:ascii="Times New Roman" w:hAnsi="Times New Roman"/>
          <w:b/>
        </w:rPr>
      </w:pPr>
      <w:r w:rsidRPr="005F73EA">
        <w:rPr>
          <w:rFonts w:ascii="Times New Roman" w:hAnsi="Times New Roman"/>
          <w:b/>
        </w:rPr>
        <w:t>References</w:t>
      </w:r>
    </w:p>
    <w:p w:rsidR="00A46152" w:rsidRDefault="0078048C" w:rsidP="005F73EA">
      <w:pPr>
        <w:spacing w:line="240" w:lineRule="auto"/>
        <w:rPr>
          <w:rFonts w:ascii="Times New Roman" w:hAnsi="Times New Roman"/>
        </w:rPr>
      </w:pPr>
      <w:r>
        <w:rPr>
          <w:rFonts w:ascii="Times New Roman" w:hAnsi="Times New Roman"/>
        </w:rPr>
        <w:t>Regling K. and Watson M. (2010) A preliminary Report into the Source of Irelands Banking Crisis,</w:t>
      </w:r>
      <w:r w:rsidR="00A46152">
        <w:rPr>
          <w:rFonts w:ascii="Times New Roman" w:hAnsi="Times New Roman"/>
        </w:rPr>
        <w:t xml:space="preserve"> available AT :- </w:t>
      </w:r>
      <w:r w:rsidR="00A46152" w:rsidRPr="00A13B3E">
        <w:rPr>
          <w:rFonts w:ascii="Times New Roman" w:hAnsi="Times New Roman"/>
        </w:rPr>
        <w:t>http://www.bankinginquiry.gov.i</w:t>
      </w:r>
      <w:r w:rsidR="00A13B3E">
        <w:rPr>
          <w:rFonts w:ascii="Times New Roman" w:hAnsi="Times New Roman"/>
        </w:rPr>
        <w:t>e</w:t>
      </w:r>
    </w:p>
    <w:p w:rsidR="00A46152" w:rsidRDefault="00A46152" w:rsidP="005F73EA">
      <w:pPr>
        <w:spacing w:line="240" w:lineRule="auto"/>
        <w:rPr>
          <w:rFonts w:ascii="Times New Roman" w:hAnsi="Times New Roman"/>
        </w:rPr>
      </w:pPr>
      <w:r>
        <w:rPr>
          <w:rFonts w:ascii="Times New Roman" w:hAnsi="Times New Roman"/>
        </w:rPr>
        <w:t>Stewart, J (2012),</w:t>
      </w:r>
      <w:r w:rsidR="003500DD">
        <w:rPr>
          <w:rFonts w:ascii="Times New Roman" w:hAnsi="Times New Roman"/>
        </w:rPr>
        <w:t xml:space="preserve"> Institutional Change and the Euro: Some Implications for Ireland, IIIS Discussion Paper no. 416, Trinity College, Dublin. Available at </w:t>
      </w:r>
      <w:r w:rsidR="003500DD" w:rsidRPr="003500DD">
        <w:rPr>
          <w:rFonts w:ascii="Times New Roman" w:hAnsi="Times New Roman"/>
        </w:rPr>
        <w:t>http://www.tcd.ie/iiis/documen</w:t>
      </w:r>
      <w:r w:rsidR="003500DD">
        <w:rPr>
          <w:rFonts w:ascii="Times New Roman" w:hAnsi="Times New Roman"/>
        </w:rPr>
        <w:t>ts.</w:t>
      </w:r>
    </w:p>
    <w:p w:rsidR="00A46152" w:rsidRDefault="00A46152" w:rsidP="005F73EA">
      <w:pPr>
        <w:spacing w:line="240" w:lineRule="auto"/>
        <w:rPr>
          <w:rFonts w:ascii="Times New Roman" w:hAnsi="Times New Roman"/>
        </w:rPr>
      </w:pPr>
      <w:r>
        <w:rPr>
          <w:rFonts w:ascii="Times New Roman" w:hAnsi="Times New Roman"/>
        </w:rPr>
        <w:t xml:space="preserve">Stewart J. </w:t>
      </w:r>
      <w:r w:rsidR="008E6CFB">
        <w:rPr>
          <w:rFonts w:ascii="Times New Roman" w:hAnsi="Times New Roman"/>
        </w:rPr>
        <w:t xml:space="preserve">(2010), Mutuals and Alternative Banking; A Solution to the Financial and Credit Crisis in Ireand?  London: Carnegie Uk Trust, available at </w:t>
      </w:r>
    </w:p>
    <w:p w:rsidR="00685027" w:rsidRDefault="00685027" w:rsidP="005F73EA">
      <w:pPr>
        <w:spacing w:line="240" w:lineRule="auto"/>
        <w:rPr>
          <w:rFonts w:ascii="Times New Roman" w:hAnsi="Times New Roman"/>
        </w:rPr>
      </w:pPr>
    </w:p>
    <w:p w:rsidR="000355DE" w:rsidRDefault="000355DE" w:rsidP="005F73EA">
      <w:pPr>
        <w:spacing w:line="240" w:lineRule="auto"/>
        <w:rPr>
          <w:rFonts w:ascii="Times New Roman" w:hAnsi="Times New Roman"/>
        </w:rPr>
      </w:pPr>
    </w:p>
    <w:p w:rsidR="009D4A90" w:rsidRDefault="009D4A90" w:rsidP="005F73EA">
      <w:pPr>
        <w:spacing w:line="240" w:lineRule="auto"/>
      </w:pPr>
    </w:p>
    <w:p w:rsidR="005925FF" w:rsidRDefault="005925FF" w:rsidP="005F73EA">
      <w:pPr>
        <w:spacing w:line="240" w:lineRule="auto"/>
      </w:pPr>
    </w:p>
    <w:p w:rsidR="005925FF" w:rsidRDefault="005925FF" w:rsidP="005F73EA">
      <w:pPr>
        <w:spacing w:line="240" w:lineRule="auto"/>
      </w:pPr>
    </w:p>
    <w:sectPr w:rsidR="005925FF" w:rsidSect="004A0A9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DB" w:rsidRDefault="00CD6BDB" w:rsidP="00536F23">
      <w:pPr>
        <w:spacing w:after="0" w:line="240" w:lineRule="auto"/>
      </w:pPr>
      <w:r>
        <w:separator/>
      </w:r>
    </w:p>
  </w:endnote>
  <w:endnote w:type="continuationSeparator" w:id="0">
    <w:p w:rsidR="00CD6BDB" w:rsidRDefault="00CD6BDB" w:rsidP="0053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46780"/>
      <w:docPartObj>
        <w:docPartGallery w:val="Page Numbers (Bottom of Page)"/>
        <w:docPartUnique/>
      </w:docPartObj>
    </w:sdtPr>
    <w:sdtEndPr/>
    <w:sdtContent>
      <w:p w:rsidR="007401B4" w:rsidRDefault="001A2931">
        <w:pPr>
          <w:pStyle w:val="Footer"/>
          <w:jc w:val="center"/>
        </w:pPr>
        <w:r>
          <w:fldChar w:fldCharType="begin"/>
        </w:r>
        <w:r>
          <w:instrText xml:space="preserve"> PAGE   \* MERGEFORMAT </w:instrText>
        </w:r>
        <w:r>
          <w:fldChar w:fldCharType="separate"/>
        </w:r>
        <w:r w:rsidR="00143A94">
          <w:rPr>
            <w:noProof/>
          </w:rPr>
          <w:t>2</w:t>
        </w:r>
        <w:r>
          <w:rPr>
            <w:noProof/>
          </w:rPr>
          <w:fldChar w:fldCharType="end"/>
        </w:r>
      </w:p>
    </w:sdtContent>
  </w:sdt>
  <w:p w:rsidR="007401B4" w:rsidRDefault="00740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DB" w:rsidRDefault="00CD6BDB" w:rsidP="00536F23">
      <w:pPr>
        <w:spacing w:after="0" w:line="240" w:lineRule="auto"/>
      </w:pPr>
      <w:r>
        <w:separator/>
      </w:r>
    </w:p>
  </w:footnote>
  <w:footnote w:type="continuationSeparator" w:id="0">
    <w:p w:rsidR="00CD6BDB" w:rsidRDefault="00CD6BDB" w:rsidP="00536F23">
      <w:pPr>
        <w:spacing w:after="0" w:line="240" w:lineRule="auto"/>
      </w:pPr>
      <w:r>
        <w:continuationSeparator/>
      </w:r>
    </w:p>
  </w:footnote>
  <w:footnote w:id="1">
    <w:p w:rsidR="003D40DC" w:rsidRPr="007F7519" w:rsidRDefault="003D40DC" w:rsidP="00834F65">
      <w:pPr>
        <w:pStyle w:val="FootnoteText"/>
        <w:rPr>
          <w:rFonts w:ascii="Times New Roman" w:hAnsi="Times New Roman"/>
          <w:sz w:val="18"/>
          <w:lang w:val="en-US"/>
        </w:rPr>
      </w:pPr>
      <w:r w:rsidRPr="007F7519">
        <w:rPr>
          <w:rStyle w:val="FootnoteReference"/>
          <w:rFonts w:ascii="Times New Roman" w:hAnsi="Times New Roman"/>
          <w:sz w:val="18"/>
        </w:rPr>
        <w:footnoteRef/>
      </w:r>
      <w:r w:rsidRPr="007F7519">
        <w:rPr>
          <w:rFonts w:ascii="Times New Roman" w:hAnsi="Times New Roman"/>
          <w:sz w:val="18"/>
        </w:rPr>
        <w:t xml:space="preserve"> </w:t>
      </w:r>
      <w:r w:rsidRPr="007F7519">
        <w:rPr>
          <w:rFonts w:ascii="Times New Roman" w:hAnsi="Times New Roman"/>
          <w:sz w:val="18"/>
          <w:lang w:val="en-US"/>
        </w:rPr>
        <w:t>The UK Government has announced it is to develop a” state backed institution”, to make loans to small and medium sized companies,  Guardian newspaper 24</w:t>
      </w:r>
      <w:r w:rsidRPr="007F7519">
        <w:rPr>
          <w:rFonts w:ascii="Times New Roman" w:hAnsi="Times New Roman"/>
          <w:sz w:val="18"/>
          <w:vertAlign w:val="superscript"/>
          <w:lang w:val="en-US"/>
        </w:rPr>
        <w:t>th</w:t>
      </w:r>
      <w:r w:rsidRPr="007F7519">
        <w:rPr>
          <w:rFonts w:ascii="Times New Roman" w:hAnsi="Times New Roman"/>
          <w:sz w:val="18"/>
          <w:lang w:val="en-US"/>
        </w:rPr>
        <w:t xml:space="preserve"> September, 2012.</w:t>
      </w:r>
    </w:p>
  </w:footnote>
  <w:footnote w:id="2">
    <w:p w:rsidR="00125E05" w:rsidRPr="00E72DCB" w:rsidRDefault="00125E05" w:rsidP="00125E05">
      <w:pPr>
        <w:pStyle w:val="FootnoteText"/>
        <w:rPr>
          <w:rFonts w:ascii="Times New Roman" w:hAnsi="Times New Roman"/>
          <w:sz w:val="18"/>
          <w:lang w:val="en-US"/>
        </w:rPr>
      </w:pPr>
      <w:r w:rsidRPr="00E72DCB">
        <w:rPr>
          <w:rStyle w:val="FootnoteReference"/>
          <w:rFonts w:ascii="Times New Roman" w:hAnsi="Times New Roman"/>
          <w:sz w:val="18"/>
        </w:rPr>
        <w:footnoteRef/>
      </w:r>
      <w:r w:rsidRPr="00E72DCB">
        <w:rPr>
          <w:rFonts w:ascii="Times New Roman" w:hAnsi="Times New Roman"/>
          <w:sz w:val="18"/>
        </w:rPr>
        <w:t xml:space="preserve"> The President of the ECB stated </w:t>
      </w:r>
      <w:r w:rsidRPr="00E72DCB">
        <w:rPr>
          <w:rFonts w:ascii="Times New Roman" w:hAnsi="Times New Roman"/>
          <w:sz w:val="18"/>
          <w:lang w:val="en-US"/>
        </w:rPr>
        <w:t>“the ECB is ready to do whatever it takes to preserve the Euro. And believe me it will be enough” (Draghi, 2012a).</w:t>
      </w:r>
    </w:p>
  </w:footnote>
  <w:footnote w:id="3">
    <w:p w:rsidR="00125E05" w:rsidRPr="00E72DCB" w:rsidRDefault="00125E05" w:rsidP="00125E05">
      <w:pPr>
        <w:pStyle w:val="FootnoteText"/>
        <w:rPr>
          <w:rFonts w:ascii="Times New Roman" w:hAnsi="Times New Roman"/>
          <w:sz w:val="18"/>
          <w:lang w:val="en-US"/>
        </w:rPr>
      </w:pPr>
      <w:r w:rsidRPr="00E72DCB">
        <w:rPr>
          <w:rStyle w:val="FootnoteReference"/>
          <w:rFonts w:ascii="Times New Roman" w:hAnsi="Times New Roman"/>
          <w:sz w:val="18"/>
        </w:rPr>
        <w:footnoteRef/>
      </w:r>
      <w:r w:rsidRPr="00E72DCB">
        <w:rPr>
          <w:rFonts w:ascii="Times New Roman" w:hAnsi="Times New Roman"/>
          <w:sz w:val="18"/>
        </w:rPr>
        <w:t xml:space="preserve"> </w:t>
      </w:r>
      <w:r w:rsidRPr="00E72DCB">
        <w:rPr>
          <w:rFonts w:ascii="Times New Roman" w:hAnsi="Times New Roman"/>
          <w:sz w:val="18"/>
          <w:lang w:val="en-US"/>
        </w:rPr>
        <w:t xml:space="preserve">From  June 29 to July 6, Irish 10 year bond yields fell by 13%, in contrast to bond yields in Italy, Greece, Portugal and Spain which either rose or fell slightly over this period. From </w:t>
      </w:r>
      <w:r>
        <w:rPr>
          <w:rFonts w:ascii="Times New Roman" w:hAnsi="Times New Roman"/>
          <w:sz w:val="18"/>
          <w:lang w:val="en-US"/>
        </w:rPr>
        <w:t>t</w:t>
      </w:r>
      <w:r w:rsidRPr="00E72DCB">
        <w:rPr>
          <w:rFonts w:ascii="Times New Roman" w:hAnsi="Times New Roman"/>
          <w:sz w:val="18"/>
          <w:lang w:val="en-US"/>
        </w:rPr>
        <w:t xml:space="preserve">he end of June </w:t>
      </w:r>
      <w:r>
        <w:rPr>
          <w:rFonts w:ascii="Times New Roman" w:hAnsi="Times New Roman"/>
          <w:sz w:val="18"/>
          <w:lang w:val="en-US"/>
        </w:rPr>
        <w:t xml:space="preserve">2012 </w:t>
      </w:r>
      <w:r w:rsidRPr="00E72DCB">
        <w:rPr>
          <w:rFonts w:ascii="Times New Roman" w:hAnsi="Times New Roman"/>
          <w:sz w:val="18"/>
          <w:lang w:val="en-US"/>
        </w:rPr>
        <w:t xml:space="preserve">to the </w:t>
      </w:r>
      <w:r>
        <w:rPr>
          <w:rFonts w:ascii="Times New Roman" w:hAnsi="Times New Roman"/>
          <w:sz w:val="18"/>
          <w:lang w:val="en-US"/>
        </w:rPr>
        <w:t>e</w:t>
      </w:r>
      <w:r w:rsidRPr="00E72DCB">
        <w:rPr>
          <w:rFonts w:ascii="Times New Roman" w:hAnsi="Times New Roman"/>
          <w:sz w:val="18"/>
          <w:lang w:val="en-US"/>
        </w:rPr>
        <w:t xml:space="preserve">nd of October </w:t>
      </w:r>
      <w:r>
        <w:rPr>
          <w:rFonts w:ascii="Times New Roman" w:hAnsi="Times New Roman"/>
          <w:sz w:val="18"/>
          <w:lang w:val="en-US"/>
        </w:rPr>
        <w:t xml:space="preserve">2012, </w:t>
      </w:r>
      <w:r w:rsidRPr="00E72DCB">
        <w:rPr>
          <w:rFonts w:ascii="Times New Roman" w:hAnsi="Times New Roman"/>
          <w:sz w:val="18"/>
          <w:lang w:val="en-US"/>
        </w:rPr>
        <w:t>Irish 10 year bond yields fell by 31%</w:t>
      </w:r>
      <w:r>
        <w:rPr>
          <w:rFonts w:ascii="Times New Roman" w:hAnsi="Times New Roman"/>
          <w:sz w:val="18"/>
          <w:lang w:val="en-US"/>
        </w:rPr>
        <w:t>, Portuguese bond yields fell by 25% and Greek bond yields by 39%. Source: Financial Times/Thompson Reuters 10 year Government benchmark bonds.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246AD"/>
    <w:multiLevelType w:val="hybridMultilevel"/>
    <w:tmpl w:val="54DE515C"/>
    <w:lvl w:ilvl="0" w:tplc="2F5AEBD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112B1C"/>
    <w:multiLevelType w:val="hybridMultilevel"/>
    <w:tmpl w:val="FDE62CB6"/>
    <w:lvl w:ilvl="0" w:tplc="A86848D4">
      <w:start w:val="1"/>
      <w:numFmt w:val="bullet"/>
      <w:lvlText w:val="•"/>
      <w:lvlJc w:val="left"/>
      <w:pPr>
        <w:tabs>
          <w:tab w:val="num" w:pos="720"/>
        </w:tabs>
        <w:ind w:left="720" w:hanging="360"/>
      </w:pPr>
      <w:rPr>
        <w:rFonts w:ascii="Times New Roman" w:hAnsi="Times New Roman" w:cs="Times New Roman" w:hint="default"/>
      </w:rPr>
    </w:lvl>
    <w:lvl w:ilvl="1" w:tplc="4CC69AF0">
      <w:start w:val="1"/>
      <w:numFmt w:val="decimal"/>
      <w:lvlText w:val="%2."/>
      <w:lvlJc w:val="left"/>
      <w:pPr>
        <w:tabs>
          <w:tab w:val="num" w:pos="1440"/>
        </w:tabs>
        <w:ind w:left="1440" w:hanging="360"/>
      </w:pPr>
    </w:lvl>
    <w:lvl w:ilvl="2" w:tplc="7BC4A244">
      <w:start w:val="1"/>
      <w:numFmt w:val="decimal"/>
      <w:lvlText w:val="%3."/>
      <w:lvlJc w:val="left"/>
      <w:pPr>
        <w:tabs>
          <w:tab w:val="num" w:pos="2160"/>
        </w:tabs>
        <w:ind w:left="2160" w:hanging="360"/>
      </w:pPr>
    </w:lvl>
    <w:lvl w:ilvl="3" w:tplc="85465CE6">
      <w:start w:val="1"/>
      <w:numFmt w:val="decimal"/>
      <w:lvlText w:val="%4."/>
      <w:lvlJc w:val="left"/>
      <w:pPr>
        <w:tabs>
          <w:tab w:val="num" w:pos="2880"/>
        </w:tabs>
        <w:ind w:left="2880" w:hanging="360"/>
      </w:pPr>
    </w:lvl>
    <w:lvl w:ilvl="4" w:tplc="5358D67C">
      <w:start w:val="1"/>
      <w:numFmt w:val="decimal"/>
      <w:lvlText w:val="%5."/>
      <w:lvlJc w:val="left"/>
      <w:pPr>
        <w:tabs>
          <w:tab w:val="num" w:pos="3600"/>
        </w:tabs>
        <w:ind w:left="3600" w:hanging="360"/>
      </w:pPr>
    </w:lvl>
    <w:lvl w:ilvl="5" w:tplc="0C7A08E0">
      <w:start w:val="1"/>
      <w:numFmt w:val="decimal"/>
      <w:lvlText w:val="%6."/>
      <w:lvlJc w:val="left"/>
      <w:pPr>
        <w:tabs>
          <w:tab w:val="num" w:pos="4320"/>
        </w:tabs>
        <w:ind w:left="4320" w:hanging="360"/>
      </w:pPr>
    </w:lvl>
    <w:lvl w:ilvl="6" w:tplc="EFAC27DA">
      <w:start w:val="1"/>
      <w:numFmt w:val="decimal"/>
      <w:lvlText w:val="%7."/>
      <w:lvlJc w:val="left"/>
      <w:pPr>
        <w:tabs>
          <w:tab w:val="num" w:pos="5040"/>
        </w:tabs>
        <w:ind w:left="5040" w:hanging="360"/>
      </w:pPr>
    </w:lvl>
    <w:lvl w:ilvl="7" w:tplc="328EF120">
      <w:start w:val="1"/>
      <w:numFmt w:val="decimal"/>
      <w:lvlText w:val="%8."/>
      <w:lvlJc w:val="left"/>
      <w:pPr>
        <w:tabs>
          <w:tab w:val="num" w:pos="5760"/>
        </w:tabs>
        <w:ind w:left="5760" w:hanging="360"/>
      </w:pPr>
    </w:lvl>
    <w:lvl w:ilvl="8" w:tplc="15E0A90A">
      <w:start w:val="1"/>
      <w:numFmt w:val="decimal"/>
      <w:lvlText w:val="%9."/>
      <w:lvlJc w:val="left"/>
      <w:pPr>
        <w:tabs>
          <w:tab w:val="num" w:pos="6480"/>
        </w:tabs>
        <w:ind w:left="6480" w:hanging="360"/>
      </w:pPr>
    </w:lvl>
  </w:abstractNum>
  <w:abstractNum w:abstractNumId="2">
    <w:nsid w:val="2F9D6907"/>
    <w:multiLevelType w:val="hybridMultilevel"/>
    <w:tmpl w:val="FE3AB5BC"/>
    <w:lvl w:ilvl="0" w:tplc="083C0001">
      <w:start w:val="1"/>
      <w:numFmt w:val="bullet"/>
      <w:lvlText w:val=""/>
      <w:lvlJc w:val="left"/>
      <w:pPr>
        <w:ind w:left="1440" w:hanging="360"/>
      </w:pPr>
      <w:rPr>
        <w:rFonts w:ascii="Symbol" w:hAnsi="Symbol" w:hint="default"/>
      </w:rPr>
    </w:lvl>
    <w:lvl w:ilvl="1" w:tplc="083C0003">
      <w:start w:val="1"/>
      <w:numFmt w:val="decimal"/>
      <w:lvlText w:val="%2."/>
      <w:lvlJc w:val="left"/>
      <w:pPr>
        <w:tabs>
          <w:tab w:val="num" w:pos="1440"/>
        </w:tabs>
        <w:ind w:left="1440" w:hanging="360"/>
      </w:pPr>
    </w:lvl>
    <w:lvl w:ilvl="2" w:tplc="083C0005">
      <w:start w:val="1"/>
      <w:numFmt w:val="decimal"/>
      <w:lvlText w:val="%3."/>
      <w:lvlJc w:val="left"/>
      <w:pPr>
        <w:tabs>
          <w:tab w:val="num" w:pos="2160"/>
        </w:tabs>
        <w:ind w:left="2160" w:hanging="360"/>
      </w:pPr>
    </w:lvl>
    <w:lvl w:ilvl="3" w:tplc="083C0001">
      <w:start w:val="1"/>
      <w:numFmt w:val="decimal"/>
      <w:lvlText w:val="%4."/>
      <w:lvlJc w:val="left"/>
      <w:pPr>
        <w:tabs>
          <w:tab w:val="num" w:pos="2880"/>
        </w:tabs>
        <w:ind w:left="2880" w:hanging="360"/>
      </w:pPr>
    </w:lvl>
    <w:lvl w:ilvl="4" w:tplc="083C0003">
      <w:start w:val="1"/>
      <w:numFmt w:val="decimal"/>
      <w:lvlText w:val="%5."/>
      <w:lvlJc w:val="left"/>
      <w:pPr>
        <w:tabs>
          <w:tab w:val="num" w:pos="3600"/>
        </w:tabs>
        <w:ind w:left="3600" w:hanging="360"/>
      </w:pPr>
    </w:lvl>
    <w:lvl w:ilvl="5" w:tplc="083C0005">
      <w:start w:val="1"/>
      <w:numFmt w:val="decimal"/>
      <w:lvlText w:val="%6."/>
      <w:lvlJc w:val="left"/>
      <w:pPr>
        <w:tabs>
          <w:tab w:val="num" w:pos="4320"/>
        </w:tabs>
        <w:ind w:left="4320" w:hanging="360"/>
      </w:pPr>
    </w:lvl>
    <w:lvl w:ilvl="6" w:tplc="083C0001">
      <w:start w:val="1"/>
      <w:numFmt w:val="decimal"/>
      <w:lvlText w:val="%7."/>
      <w:lvlJc w:val="left"/>
      <w:pPr>
        <w:tabs>
          <w:tab w:val="num" w:pos="5040"/>
        </w:tabs>
        <w:ind w:left="5040" w:hanging="360"/>
      </w:pPr>
    </w:lvl>
    <w:lvl w:ilvl="7" w:tplc="083C0003">
      <w:start w:val="1"/>
      <w:numFmt w:val="decimal"/>
      <w:lvlText w:val="%8."/>
      <w:lvlJc w:val="left"/>
      <w:pPr>
        <w:tabs>
          <w:tab w:val="num" w:pos="5760"/>
        </w:tabs>
        <w:ind w:left="5760" w:hanging="360"/>
      </w:pPr>
    </w:lvl>
    <w:lvl w:ilvl="8" w:tplc="083C0005">
      <w:start w:val="1"/>
      <w:numFmt w:val="decimal"/>
      <w:lvlText w:val="%9."/>
      <w:lvlJc w:val="left"/>
      <w:pPr>
        <w:tabs>
          <w:tab w:val="num" w:pos="6480"/>
        </w:tabs>
        <w:ind w:left="6480" w:hanging="360"/>
      </w:pPr>
    </w:lvl>
  </w:abstractNum>
  <w:abstractNum w:abstractNumId="3">
    <w:nsid w:val="32801322"/>
    <w:multiLevelType w:val="hybridMultilevel"/>
    <w:tmpl w:val="4A503212"/>
    <w:lvl w:ilvl="0" w:tplc="416EA0C4">
      <w:start w:val="1"/>
      <w:numFmt w:val="bullet"/>
      <w:lvlText w:val="•"/>
      <w:lvlJc w:val="left"/>
      <w:pPr>
        <w:tabs>
          <w:tab w:val="num" w:pos="720"/>
        </w:tabs>
        <w:ind w:left="720" w:hanging="360"/>
      </w:pPr>
      <w:rPr>
        <w:rFonts w:ascii="Arial" w:hAnsi="Arial" w:cs="Times New Roman" w:hint="default"/>
      </w:rPr>
    </w:lvl>
    <w:lvl w:ilvl="1" w:tplc="1CFA132A">
      <w:start w:val="1"/>
      <w:numFmt w:val="decimal"/>
      <w:lvlText w:val="%2."/>
      <w:lvlJc w:val="left"/>
      <w:pPr>
        <w:tabs>
          <w:tab w:val="num" w:pos="1440"/>
        </w:tabs>
        <w:ind w:left="1440" w:hanging="360"/>
      </w:pPr>
    </w:lvl>
    <w:lvl w:ilvl="2" w:tplc="74705644">
      <w:start w:val="1"/>
      <w:numFmt w:val="decimal"/>
      <w:lvlText w:val="%3."/>
      <w:lvlJc w:val="left"/>
      <w:pPr>
        <w:tabs>
          <w:tab w:val="num" w:pos="2160"/>
        </w:tabs>
        <w:ind w:left="2160" w:hanging="360"/>
      </w:pPr>
    </w:lvl>
    <w:lvl w:ilvl="3" w:tplc="E3688F52">
      <w:start w:val="1"/>
      <w:numFmt w:val="decimal"/>
      <w:lvlText w:val="%4."/>
      <w:lvlJc w:val="left"/>
      <w:pPr>
        <w:tabs>
          <w:tab w:val="num" w:pos="2880"/>
        </w:tabs>
        <w:ind w:left="2880" w:hanging="360"/>
      </w:pPr>
    </w:lvl>
    <w:lvl w:ilvl="4" w:tplc="BF0EF638">
      <w:start w:val="1"/>
      <w:numFmt w:val="decimal"/>
      <w:lvlText w:val="%5."/>
      <w:lvlJc w:val="left"/>
      <w:pPr>
        <w:tabs>
          <w:tab w:val="num" w:pos="3600"/>
        </w:tabs>
        <w:ind w:left="3600" w:hanging="360"/>
      </w:pPr>
    </w:lvl>
    <w:lvl w:ilvl="5" w:tplc="6052A788">
      <w:start w:val="1"/>
      <w:numFmt w:val="decimal"/>
      <w:lvlText w:val="%6."/>
      <w:lvlJc w:val="left"/>
      <w:pPr>
        <w:tabs>
          <w:tab w:val="num" w:pos="4320"/>
        </w:tabs>
        <w:ind w:left="4320" w:hanging="360"/>
      </w:pPr>
    </w:lvl>
    <w:lvl w:ilvl="6" w:tplc="88EAF44C">
      <w:start w:val="1"/>
      <w:numFmt w:val="decimal"/>
      <w:lvlText w:val="%7."/>
      <w:lvlJc w:val="left"/>
      <w:pPr>
        <w:tabs>
          <w:tab w:val="num" w:pos="5040"/>
        </w:tabs>
        <w:ind w:left="5040" w:hanging="360"/>
      </w:pPr>
    </w:lvl>
    <w:lvl w:ilvl="7" w:tplc="9E7ECC36">
      <w:start w:val="1"/>
      <w:numFmt w:val="decimal"/>
      <w:lvlText w:val="%8."/>
      <w:lvlJc w:val="left"/>
      <w:pPr>
        <w:tabs>
          <w:tab w:val="num" w:pos="5760"/>
        </w:tabs>
        <w:ind w:left="5760" w:hanging="360"/>
      </w:pPr>
    </w:lvl>
    <w:lvl w:ilvl="8" w:tplc="AAA29324">
      <w:start w:val="1"/>
      <w:numFmt w:val="decimal"/>
      <w:lvlText w:val="%9."/>
      <w:lvlJc w:val="left"/>
      <w:pPr>
        <w:tabs>
          <w:tab w:val="num" w:pos="6480"/>
        </w:tabs>
        <w:ind w:left="6480" w:hanging="360"/>
      </w:pPr>
    </w:lvl>
  </w:abstractNum>
  <w:abstractNum w:abstractNumId="4">
    <w:nsid w:val="38F136CA"/>
    <w:multiLevelType w:val="hybridMultilevel"/>
    <w:tmpl w:val="36C69B42"/>
    <w:lvl w:ilvl="0" w:tplc="D63E99CA">
      <w:start w:val="1"/>
      <w:numFmt w:val="bullet"/>
      <w:lvlText w:val="•"/>
      <w:lvlJc w:val="left"/>
      <w:pPr>
        <w:tabs>
          <w:tab w:val="num" w:pos="720"/>
        </w:tabs>
        <w:ind w:left="720" w:hanging="360"/>
      </w:pPr>
      <w:rPr>
        <w:rFonts w:ascii="Times New Roman" w:hAnsi="Times New Roman" w:hint="default"/>
      </w:rPr>
    </w:lvl>
    <w:lvl w:ilvl="1" w:tplc="81FAED4A" w:tentative="1">
      <w:start w:val="1"/>
      <w:numFmt w:val="bullet"/>
      <w:lvlText w:val="•"/>
      <w:lvlJc w:val="left"/>
      <w:pPr>
        <w:tabs>
          <w:tab w:val="num" w:pos="1440"/>
        </w:tabs>
        <w:ind w:left="1440" w:hanging="360"/>
      </w:pPr>
      <w:rPr>
        <w:rFonts w:ascii="Times New Roman" w:hAnsi="Times New Roman" w:hint="default"/>
      </w:rPr>
    </w:lvl>
    <w:lvl w:ilvl="2" w:tplc="F36868F6" w:tentative="1">
      <w:start w:val="1"/>
      <w:numFmt w:val="bullet"/>
      <w:lvlText w:val="•"/>
      <w:lvlJc w:val="left"/>
      <w:pPr>
        <w:tabs>
          <w:tab w:val="num" w:pos="2160"/>
        </w:tabs>
        <w:ind w:left="2160" w:hanging="360"/>
      </w:pPr>
      <w:rPr>
        <w:rFonts w:ascii="Times New Roman" w:hAnsi="Times New Roman" w:hint="default"/>
      </w:rPr>
    </w:lvl>
    <w:lvl w:ilvl="3" w:tplc="FEB85FC8" w:tentative="1">
      <w:start w:val="1"/>
      <w:numFmt w:val="bullet"/>
      <w:lvlText w:val="•"/>
      <w:lvlJc w:val="left"/>
      <w:pPr>
        <w:tabs>
          <w:tab w:val="num" w:pos="2880"/>
        </w:tabs>
        <w:ind w:left="2880" w:hanging="360"/>
      </w:pPr>
      <w:rPr>
        <w:rFonts w:ascii="Times New Roman" w:hAnsi="Times New Roman" w:hint="default"/>
      </w:rPr>
    </w:lvl>
    <w:lvl w:ilvl="4" w:tplc="F33AAC18" w:tentative="1">
      <w:start w:val="1"/>
      <w:numFmt w:val="bullet"/>
      <w:lvlText w:val="•"/>
      <w:lvlJc w:val="left"/>
      <w:pPr>
        <w:tabs>
          <w:tab w:val="num" w:pos="3600"/>
        </w:tabs>
        <w:ind w:left="3600" w:hanging="360"/>
      </w:pPr>
      <w:rPr>
        <w:rFonts w:ascii="Times New Roman" w:hAnsi="Times New Roman" w:hint="default"/>
      </w:rPr>
    </w:lvl>
    <w:lvl w:ilvl="5" w:tplc="B93CE866" w:tentative="1">
      <w:start w:val="1"/>
      <w:numFmt w:val="bullet"/>
      <w:lvlText w:val="•"/>
      <w:lvlJc w:val="left"/>
      <w:pPr>
        <w:tabs>
          <w:tab w:val="num" w:pos="4320"/>
        </w:tabs>
        <w:ind w:left="4320" w:hanging="360"/>
      </w:pPr>
      <w:rPr>
        <w:rFonts w:ascii="Times New Roman" w:hAnsi="Times New Roman" w:hint="default"/>
      </w:rPr>
    </w:lvl>
    <w:lvl w:ilvl="6" w:tplc="2744D1A4" w:tentative="1">
      <w:start w:val="1"/>
      <w:numFmt w:val="bullet"/>
      <w:lvlText w:val="•"/>
      <w:lvlJc w:val="left"/>
      <w:pPr>
        <w:tabs>
          <w:tab w:val="num" w:pos="5040"/>
        </w:tabs>
        <w:ind w:left="5040" w:hanging="360"/>
      </w:pPr>
      <w:rPr>
        <w:rFonts w:ascii="Times New Roman" w:hAnsi="Times New Roman" w:hint="default"/>
      </w:rPr>
    </w:lvl>
    <w:lvl w:ilvl="7" w:tplc="3B9AF3BA" w:tentative="1">
      <w:start w:val="1"/>
      <w:numFmt w:val="bullet"/>
      <w:lvlText w:val="•"/>
      <w:lvlJc w:val="left"/>
      <w:pPr>
        <w:tabs>
          <w:tab w:val="num" w:pos="5760"/>
        </w:tabs>
        <w:ind w:left="5760" w:hanging="360"/>
      </w:pPr>
      <w:rPr>
        <w:rFonts w:ascii="Times New Roman" w:hAnsi="Times New Roman" w:hint="default"/>
      </w:rPr>
    </w:lvl>
    <w:lvl w:ilvl="8" w:tplc="AFCA4B4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12D18C4"/>
    <w:multiLevelType w:val="hybridMultilevel"/>
    <w:tmpl w:val="A1968E42"/>
    <w:lvl w:ilvl="0" w:tplc="18090001">
      <w:start w:val="1"/>
      <w:numFmt w:val="bullet"/>
      <w:lvlText w:val=""/>
      <w:lvlJc w:val="left"/>
      <w:pPr>
        <w:ind w:left="756"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6">
    <w:nsid w:val="730C6282"/>
    <w:multiLevelType w:val="hybridMultilevel"/>
    <w:tmpl w:val="7066935C"/>
    <w:lvl w:ilvl="0" w:tplc="761CA07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76950F3C"/>
    <w:multiLevelType w:val="hybridMultilevel"/>
    <w:tmpl w:val="68EE0E9C"/>
    <w:lvl w:ilvl="0" w:tplc="CCD48F3E">
      <w:start w:val="1"/>
      <w:numFmt w:val="bullet"/>
      <w:lvlText w:val="•"/>
      <w:lvlJc w:val="left"/>
      <w:pPr>
        <w:tabs>
          <w:tab w:val="num" w:pos="720"/>
        </w:tabs>
        <w:ind w:left="720" w:hanging="360"/>
      </w:pPr>
      <w:rPr>
        <w:rFonts w:ascii="Times New Roman" w:hAnsi="Times New Roman" w:cs="Times New Roman" w:hint="default"/>
      </w:rPr>
    </w:lvl>
    <w:lvl w:ilvl="1" w:tplc="B8CC156A">
      <w:start w:val="1"/>
      <w:numFmt w:val="decimal"/>
      <w:lvlText w:val="%2."/>
      <w:lvlJc w:val="left"/>
      <w:pPr>
        <w:tabs>
          <w:tab w:val="num" w:pos="1440"/>
        </w:tabs>
        <w:ind w:left="1440" w:hanging="360"/>
      </w:pPr>
    </w:lvl>
    <w:lvl w:ilvl="2" w:tplc="E104FD4A">
      <w:start w:val="1"/>
      <w:numFmt w:val="decimal"/>
      <w:lvlText w:val="%3."/>
      <w:lvlJc w:val="left"/>
      <w:pPr>
        <w:tabs>
          <w:tab w:val="num" w:pos="2160"/>
        </w:tabs>
        <w:ind w:left="2160" w:hanging="360"/>
      </w:pPr>
    </w:lvl>
    <w:lvl w:ilvl="3" w:tplc="A1E08D3A">
      <w:start w:val="1"/>
      <w:numFmt w:val="decimal"/>
      <w:lvlText w:val="%4."/>
      <w:lvlJc w:val="left"/>
      <w:pPr>
        <w:tabs>
          <w:tab w:val="num" w:pos="2880"/>
        </w:tabs>
        <w:ind w:left="2880" w:hanging="360"/>
      </w:pPr>
    </w:lvl>
    <w:lvl w:ilvl="4" w:tplc="6B72737A">
      <w:start w:val="1"/>
      <w:numFmt w:val="decimal"/>
      <w:lvlText w:val="%5."/>
      <w:lvlJc w:val="left"/>
      <w:pPr>
        <w:tabs>
          <w:tab w:val="num" w:pos="3600"/>
        </w:tabs>
        <w:ind w:left="3600" w:hanging="360"/>
      </w:pPr>
    </w:lvl>
    <w:lvl w:ilvl="5" w:tplc="9C3C2050">
      <w:start w:val="1"/>
      <w:numFmt w:val="decimal"/>
      <w:lvlText w:val="%6."/>
      <w:lvlJc w:val="left"/>
      <w:pPr>
        <w:tabs>
          <w:tab w:val="num" w:pos="4320"/>
        </w:tabs>
        <w:ind w:left="4320" w:hanging="360"/>
      </w:pPr>
    </w:lvl>
    <w:lvl w:ilvl="6" w:tplc="0EEA7EA8">
      <w:start w:val="1"/>
      <w:numFmt w:val="decimal"/>
      <w:lvlText w:val="%7."/>
      <w:lvlJc w:val="left"/>
      <w:pPr>
        <w:tabs>
          <w:tab w:val="num" w:pos="5040"/>
        </w:tabs>
        <w:ind w:left="5040" w:hanging="360"/>
      </w:pPr>
    </w:lvl>
    <w:lvl w:ilvl="7" w:tplc="7B4A4FAA">
      <w:start w:val="1"/>
      <w:numFmt w:val="decimal"/>
      <w:lvlText w:val="%8."/>
      <w:lvlJc w:val="left"/>
      <w:pPr>
        <w:tabs>
          <w:tab w:val="num" w:pos="5760"/>
        </w:tabs>
        <w:ind w:left="5760" w:hanging="360"/>
      </w:pPr>
    </w:lvl>
    <w:lvl w:ilvl="8" w:tplc="8C2E472A">
      <w:start w:val="1"/>
      <w:numFmt w:val="decimal"/>
      <w:lvlText w:val="%9."/>
      <w:lvlJc w:val="left"/>
      <w:pPr>
        <w:tabs>
          <w:tab w:val="num" w:pos="6480"/>
        </w:tabs>
        <w:ind w:left="6480" w:hanging="360"/>
      </w:pPr>
    </w:lvl>
  </w:abstractNum>
  <w:abstractNum w:abstractNumId="8">
    <w:nsid w:val="7A513DF4"/>
    <w:multiLevelType w:val="hybridMultilevel"/>
    <w:tmpl w:val="E14CD88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5FF"/>
    <w:rsid w:val="000355DE"/>
    <w:rsid w:val="000400E9"/>
    <w:rsid w:val="00042D56"/>
    <w:rsid w:val="000A156F"/>
    <w:rsid w:val="000E1851"/>
    <w:rsid w:val="000E1DD7"/>
    <w:rsid w:val="000F4982"/>
    <w:rsid w:val="0011123D"/>
    <w:rsid w:val="00125E05"/>
    <w:rsid w:val="00143A94"/>
    <w:rsid w:val="0016192E"/>
    <w:rsid w:val="0019148F"/>
    <w:rsid w:val="00194B5B"/>
    <w:rsid w:val="001A2931"/>
    <w:rsid w:val="002216D1"/>
    <w:rsid w:val="0023300C"/>
    <w:rsid w:val="00265A51"/>
    <w:rsid w:val="00277C5B"/>
    <w:rsid w:val="00292F11"/>
    <w:rsid w:val="002A6F89"/>
    <w:rsid w:val="002B3773"/>
    <w:rsid w:val="002D6C2B"/>
    <w:rsid w:val="002D750F"/>
    <w:rsid w:val="002F34F8"/>
    <w:rsid w:val="0033558C"/>
    <w:rsid w:val="00340CB0"/>
    <w:rsid w:val="00347870"/>
    <w:rsid w:val="003500DD"/>
    <w:rsid w:val="003568D9"/>
    <w:rsid w:val="003A245D"/>
    <w:rsid w:val="003C7462"/>
    <w:rsid w:val="003D40DC"/>
    <w:rsid w:val="003E3A3C"/>
    <w:rsid w:val="003E3B6F"/>
    <w:rsid w:val="00412125"/>
    <w:rsid w:val="00412C0C"/>
    <w:rsid w:val="00424919"/>
    <w:rsid w:val="00491304"/>
    <w:rsid w:val="004A0A94"/>
    <w:rsid w:val="004A7991"/>
    <w:rsid w:val="004C5DA7"/>
    <w:rsid w:val="004D5A76"/>
    <w:rsid w:val="00511E36"/>
    <w:rsid w:val="00515440"/>
    <w:rsid w:val="00536F23"/>
    <w:rsid w:val="00576B83"/>
    <w:rsid w:val="00585C78"/>
    <w:rsid w:val="005925FF"/>
    <w:rsid w:val="005A366F"/>
    <w:rsid w:val="005D0A50"/>
    <w:rsid w:val="005F73EA"/>
    <w:rsid w:val="006061F4"/>
    <w:rsid w:val="006578E4"/>
    <w:rsid w:val="006658C4"/>
    <w:rsid w:val="00685027"/>
    <w:rsid w:val="006B1436"/>
    <w:rsid w:val="006D5FB0"/>
    <w:rsid w:val="00717C45"/>
    <w:rsid w:val="00735460"/>
    <w:rsid w:val="00736721"/>
    <w:rsid w:val="007401B4"/>
    <w:rsid w:val="00760393"/>
    <w:rsid w:val="007628AD"/>
    <w:rsid w:val="0078048C"/>
    <w:rsid w:val="0079190D"/>
    <w:rsid w:val="007C0701"/>
    <w:rsid w:val="007C11B5"/>
    <w:rsid w:val="00820780"/>
    <w:rsid w:val="00834F65"/>
    <w:rsid w:val="0085684A"/>
    <w:rsid w:val="00875692"/>
    <w:rsid w:val="008B65F5"/>
    <w:rsid w:val="008C1524"/>
    <w:rsid w:val="008E1720"/>
    <w:rsid w:val="008E6CFB"/>
    <w:rsid w:val="0092326A"/>
    <w:rsid w:val="0092391E"/>
    <w:rsid w:val="00923B82"/>
    <w:rsid w:val="00996941"/>
    <w:rsid w:val="009C117B"/>
    <w:rsid w:val="009D4A90"/>
    <w:rsid w:val="00A13B3E"/>
    <w:rsid w:val="00A46152"/>
    <w:rsid w:val="00A56471"/>
    <w:rsid w:val="00B04295"/>
    <w:rsid w:val="00B533AD"/>
    <w:rsid w:val="00B63EF5"/>
    <w:rsid w:val="00B67D47"/>
    <w:rsid w:val="00BA7B9C"/>
    <w:rsid w:val="00C16862"/>
    <w:rsid w:val="00C24728"/>
    <w:rsid w:val="00C446B6"/>
    <w:rsid w:val="00C502E3"/>
    <w:rsid w:val="00C53615"/>
    <w:rsid w:val="00C82F85"/>
    <w:rsid w:val="00C90D9D"/>
    <w:rsid w:val="00CB06AA"/>
    <w:rsid w:val="00CD6BDB"/>
    <w:rsid w:val="00DA31CE"/>
    <w:rsid w:val="00DA5969"/>
    <w:rsid w:val="00DC70E9"/>
    <w:rsid w:val="00DD5731"/>
    <w:rsid w:val="00DE05B9"/>
    <w:rsid w:val="00DE709B"/>
    <w:rsid w:val="00E839CA"/>
    <w:rsid w:val="00E85ED9"/>
    <w:rsid w:val="00EC71D0"/>
    <w:rsid w:val="00EE0DD6"/>
    <w:rsid w:val="00F23930"/>
    <w:rsid w:val="00FB6E73"/>
    <w:rsid w:val="00FF57E0"/>
    <w:rsid w:val="00FF5D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36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F23"/>
    <w:rPr>
      <w:sz w:val="20"/>
      <w:szCs w:val="20"/>
    </w:rPr>
  </w:style>
  <w:style w:type="character" w:styleId="FootnoteReference">
    <w:name w:val="footnote reference"/>
    <w:basedOn w:val="DefaultParagraphFont"/>
    <w:uiPriority w:val="99"/>
    <w:semiHidden/>
    <w:unhideWhenUsed/>
    <w:rsid w:val="00536F23"/>
    <w:rPr>
      <w:vertAlign w:val="superscript"/>
    </w:rPr>
  </w:style>
  <w:style w:type="paragraph" w:styleId="BalloonText">
    <w:name w:val="Balloon Text"/>
    <w:basedOn w:val="Normal"/>
    <w:link w:val="BalloonTextChar"/>
    <w:uiPriority w:val="99"/>
    <w:semiHidden/>
    <w:unhideWhenUsed/>
    <w:rsid w:val="0068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7"/>
    <w:rPr>
      <w:rFonts w:ascii="Tahoma" w:hAnsi="Tahoma" w:cs="Tahoma"/>
      <w:sz w:val="16"/>
      <w:szCs w:val="16"/>
    </w:rPr>
  </w:style>
  <w:style w:type="character" w:styleId="Hyperlink">
    <w:name w:val="Hyperlink"/>
    <w:basedOn w:val="DefaultParagraphFont"/>
    <w:uiPriority w:val="99"/>
    <w:unhideWhenUsed/>
    <w:rsid w:val="00412C0C"/>
    <w:rPr>
      <w:color w:val="0000FF" w:themeColor="hyperlink"/>
      <w:u w:val="single"/>
    </w:rPr>
  </w:style>
  <w:style w:type="paragraph" w:styleId="ListParagraph">
    <w:name w:val="List Paragraph"/>
    <w:basedOn w:val="Normal"/>
    <w:uiPriority w:val="34"/>
    <w:qFormat/>
    <w:rsid w:val="00412C0C"/>
    <w:pPr>
      <w:ind w:left="720"/>
      <w:contextualSpacing/>
    </w:pPr>
    <w:rPr>
      <w:lang w:eastAsia="en-IE"/>
    </w:rPr>
  </w:style>
  <w:style w:type="character" w:customStyle="1" w:styleId="smallfont">
    <w:name w:val="smallfont"/>
    <w:basedOn w:val="DefaultParagraphFont"/>
    <w:rsid w:val="00412C0C"/>
  </w:style>
  <w:style w:type="character" w:customStyle="1" w:styleId="apple-converted-space">
    <w:name w:val="apple-converted-space"/>
    <w:basedOn w:val="DefaultParagraphFont"/>
    <w:rsid w:val="00834F65"/>
  </w:style>
  <w:style w:type="paragraph" w:styleId="Header">
    <w:name w:val="header"/>
    <w:basedOn w:val="Normal"/>
    <w:link w:val="HeaderChar"/>
    <w:uiPriority w:val="99"/>
    <w:semiHidden/>
    <w:unhideWhenUsed/>
    <w:rsid w:val="007401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01B4"/>
  </w:style>
  <w:style w:type="paragraph" w:styleId="Footer">
    <w:name w:val="footer"/>
    <w:basedOn w:val="Normal"/>
    <w:link w:val="FooterChar"/>
    <w:uiPriority w:val="99"/>
    <w:unhideWhenUsed/>
    <w:rsid w:val="00740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1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ga-IE" w:eastAsia="ga-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8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36F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6F23"/>
    <w:rPr>
      <w:sz w:val="20"/>
      <w:szCs w:val="20"/>
    </w:rPr>
  </w:style>
  <w:style w:type="character" w:styleId="FootnoteReference">
    <w:name w:val="footnote reference"/>
    <w:basedOn w:val="DefaultParagraphFont"/>
    <w:uiPriority w:val="99"/>
    <w:semiHidden/>
    <w:unhideWhenUsed/>
    <w:rsid w:val="00536F23"/>
    <w:rPr>
      <w:vertAlign w:val="superscript"/>
    </w:rPr>
  </w:style>
  <w:style w:type="paragraph" w:styleId="BalloonText">
    <w:name w:val="Balloon Text"/>
    <w:basedOn w:val="Normal"/>
    <w:link w:val="BalloonTextChar"/>
    <w:uiPriority w:val="99"/>
    <w:semiHidden/>
    <w:unhideWhenUsed/>
    <w:rsid w:val="00685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7"/>
    <w:rPr>
      <w:rFonts w:ascii="Tahoma" w:hAnsi="Tahoma" w:cs="Tahoma"/>
      <w:sz w:val="16"/>
      <w:szCs w:val="16"/>
    </w:rPr>
  </w:style>
  <w:style w:type="character" w:styleId="Hyperlink">
    <w:name w:val="Hyperlink"/>
    <w:basedOn w:val="DefaultParagraphFont"/>
    <w:uiPriority w:val="99"/>
    <w:unhideWhenUsed/>
    <w:rsid w:val="00412C0C"/>
    <w:rPr>
      <w:color w:val="0000FF" w:themeColor="hyperlink"/>
      <w:u w:val="single"/>
    </w:rPr>
  </w:style>
  <w:style w:type="paragraph" w:styleId="ListParagraph">
    <w:name w:val="List Paragraph"/>
    <w:basedOn w:val="Normal"/>
    <w:uiPriority w:val="34"/>
    <w:qFormat/>
    <w:rsid w:val="00412C0C"/>
    <w:pPr>
      <w:ind w:left="720"/>
      <w:contextualSpacing/>
    </w:pPr>
    <w:rPr>
      <w:lang w:eastAsia="en-IE"/>
    </w:rPr>
  </w:style>
  <w:style w:type="character" w:customStyle="1" w:styleId="smallfont">
    <w:name w:val="smallfont"/>
    <w:basedOn w:val="DefaultParagraphFont"/>
    <w:rsid w:val="00412C0C"/>
  </w:style>
  <w:style w:type="character" w:customStyle="1" w:styleId="apple-converted-space">
    <w:name w:val="apple-converted-space"/>
    <w:basedOn w:val="DefaultParagraphFont"/>
    <w:rsid w:val="00834F65"/>
  </w:style>
  <w:style w:type="paragraph" w:styleId="Header">
    <w:name w:val="header"/>
    <w:basedOn w:val="Normal"/>
    <w:link w:val="HeaderChar"/>
    <w:uiPriority w:val="99"/>
    <w:semiHidden/>
    <w:unhideWhenUsed/>
    <w:rsid w:val="007401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01B4"/>
  </w:style>
  <w:style w:type="paragraph" w:styleId="Footer">
    <w:name w:val="footer"/>
    <w:basedOn w:val="Normal"/>
    <w:link w:val="FooterChar"/>
    <w:uiPriority w:val="99"/>
    <w:unhideWhenUsed/>
    <w:rsid w:val="007401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73849">
      <w:bodyDiv w:val="1"/>
      <w:marLeft w:val="0"/>
      <w:marRight w:val="0"/>
      <w:marTop w:val="0"/>
      <w:marBottom w:val="0"/>
      <w:divBdr>
        <w:top w:val="none" w:sz="0" w:space="0" w:color="auto"/>
        <w:left w:val="none" w:sz="0" w:space="0" w:color="auto"/>
        <w:bottom w:val="none" w:sz="0" w:space="0" w:color="auto"/>
        <w:right w:val="none" w:sz="0" w:space="0" w:color="auto"/>
      </w:divBdr>
    </w:div>
    <w:div w:id="698548267">
      <w:bodyDiv w:val="1"/>
      <w:marLeft w:val="0"/>
      <w:marRight w:val="0"/>
      <w:marTop w:val="0"/>
      <w:marBottom w:val="0"/>
      <w:divBdr>
        <w:top w:val="none" w:sz="0" w:space="0" w:color="auto"/>
        <w:left w:val="none" w:sz="0" w:space="0" w:color="auto"/>
        <w:bottom w:val="none" w:sz="0" w:space="0" w:color="auto"/>
        <w:right w:val="none" w:sz="0" w:space="0" w:color="auto"/>
      </w:divBdr>
      <w:divsChild>
        <w:div w:id="1395348623">
          <w:marLeft w:val="547"/>
          <w:marRight w:val="0"/>
          <w:marTop w:val="96"/>
          <w:marBottom w:val="0"/>
          <w:divBdr>
            <w:top w:val="none" w:sz="0" w:space="0" w:color="auto"/>
            <w:left w:val="none" w:sz="0" w:space="0" w:color="auto"/>
            <w:bottom w:val="none" w:sz="0" w:space="0" w:color="auto"/>
            <w:right w:val="none" w:sz="0" w:space="0" w:color="auto"/>
          </w:divBdr>
        </w:div>
        <w:div w:id="147676656">
          <w:marLeft w:val="547"/>
          <w:marRight w:val="0"/>
          <w:marTop w:val="96"/>
          <w:marBottom w:val="0"/>
          <w:divBdr>
            <w:top w:val="none" w:sz="0" w:space="0" w:color="auto"/>
            <w:left w:val="none" w:sz="0" w:space="0" w:color="auto"/>
            <w:bottom w:val="none" w:sz="0" w:space="0" w:color="auto"/>
            <w:right w:val="none" w:sz="0" w:space="0" w:color="auto"/>
          </w:divBdr>
        </w:div>
        <w:div w:id="1778132812">
          <w:marLeft w:val="547"/>
          <w:marRight w:val="0"/>
          <w:marTop w:val="96"/>
          <w:marBottom w:val="0"/>
          <w:divBdr>
            <w:top w:val="none" w:sz="0" w:space="0" w:color="auto"/>
            <w:left w:val="none" w:sz="0" w:space="0" w:color="auto"/>
            <w:bottom w:val="none" w:sz="0" w:space="0" w:color="auto"/>
            <w:right w:val="none" w:sz="0" w:space="0" w:color="auto"/>
          </w:divBdr>
        </w:div>
      </w:divsChild>
    </w:div>
    <w:div w:id="194210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a.europa.e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esma.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90561-425D-4279-9BBD-080E7D5B2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2417</Words>
  <Characters>13782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Elizabeth Hendron</cp:lastModifiedBy>
  <cp:revision>2</cp:revision>
  <cp:lastPrinted>2013-02-14T11:55:00Z</cp:lastPrinted>
  <dcterms:created xsi:type="dcterms:W3CDTF">2014-07-17T13:49:00Z</dcterms:created>
  <dcterms:modified xsi:type="dcterms:W3CDTF">2014-07-17T13:49:00Z</dcterms:modified>
</cp:coreProperties>
</file>